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4F1" w:rsidRPr="005D64F1" w:rsidRDefault="005D64F1" w:rsidP="005D64F1">
      <w:pPr>
        <w:pStyle w:val="NoSpacing"/>
        <w:jc w:val="right"/>
        <w:rPr>
          <w:rFonts w:ascii="Verdana" w:hAnsi="Verdana"/>
        </w:rPr>
      </w:pPr>
      <w:r>
        <w:rPr>
          <w:rFonts w:ascii="Verdana" w:hAnsi="Verdana"/>
        </w:rPr>
        <w:t>Draft for Delivery</w:t>
      </w:r>
    </w:p>
    <w:p w:rsidR="00300195" w:rsidRDefault="005D6AE7" w:rsidP="005D6AE7">
      <w:pPr>
        <w:pStyle w:val="NoSpacing"/>
        <w:jc w:val="center"/>
        <w:rPr>
          <w:rFonts w:ascii="Verdana" w:hAnsi="Verdana"/>
          <w:b/>
        </w:rPr>
      </w:pPr>
      <w:proofErr w:type="spellStart"/>
      <w:r>
        <w:rPr>
          <w:rFonts w:ascii="Verdana" w:hAnsi="Verdana"/>
          <w:b/>
        </w:rPr>
        <w:t>MIDS</w:t>
      </w:r>
      <w:proofErr w:type="spellEnd"/>
      <w:r>
        <w:rPr>
          <w:rFonts w:ascii="Verdana" w:hAnsi="Verdana"/>
          <w:b/>
        </w:rPr>
        <w:t xml:space="preserve"> FOUNDATION DAY LECTURE</w:t>
      </w:r>
    </w:p>
    <w:p w:rsidR="005D6AE7" w:rsidRPr="005D6AE7" w:rsidRDefault="005D6AE7" w:rsidP="005D6AE7">
      <w:pPr>
        <w:pStyle w:val="NoSpacing"/>
        <w:jc w:val="center"/>
        <w:rPr>
          <w:rFonts w:ascii="Verdana" w:hAnsi="Verdana"/>
        </w:rPr>
      </w:pPr>
      <w:r>
        <w:rPr>
          <w:rFonts w:ascii="Verdana" w:hAnsi="Verdana"/>
        </w:rPr>
        <w:t>26th March 2019</w:t>
      </w:r>
    </w:p>
    <w:p w:rsidR="005D6AE7" w:rsidRDefault="005D6AE7" w:rsidP="005D6AE7">
      <w:pPr>
        <w:pStyle w:val="NoSpacing"/>
        <w:jc w:val="center"/>
        <w:rPr>
          <w:rFonts w:ascii="Verdana" w:hAnsi="Verdana"/>
        </w:rPr>
      </w:pPr>
    </w:p>
    <w:p w:rsidR="00E13674" w:rsidRPr="00E13674" w:rsidRDefault="00E13674" w:rsidP="00E13674">
      <w:pPr>
        <w:pStyle w:val="NoSpacing"/>
        <w:jc w:val="center"/>
        <w:rPr>
          <w:rFonts w:ascii="Verdana" w:hAnsi="Verdana"/>
        </w:rPr>
      </w:pPr>
      <w:r>
        <w:rPr>
          <w:rFonts w:ascii="Verdana" w:hAnsi="Verdana"/>
          <w:b/>
        </w:rPr>
        <w:t xml:space="preserve">New Approaches to </w:t>
      </w:r>
      <w:r w:rsidR="005D6AE7">
        <w:rPr>
          <w:rFonts w:ascii="Verdana" w:hAnsi="Verdana"/>
          <w:b/>
        </w:rPr>
        <w:t>Fiscal Federalism in India</w:t>
      </w:r>
      <w:r>
        <w:rPr>
          <w:rFonts w:ascii="Verdana" w:hAnsi="Verdana"/>
          <w:b/>
        </w:rPr>
        <w:t xml:space="preserve"> </w:t>
      </w:r>
    </w:p>
    <w:p w:rsidR="005D6AE7" w:rsidRDefault="005D6AE7" w:rsidP="005D6AE7">
      <w:pPr>
        <w:pStyle w:val="NoSpacing"/>
        <w:jc w:val="center"/>
        <w:rPr>
          <w:rFonts w:ascii="Verdana" w:hAnsi="Verdana"/>
        </w:rPr>
      </w:pPr>
      <w:r>
        <w:rPr>
          <w:rFonts w:ascii="Verdana" w:hAnsi="Verdana"/>
        </w:rPr>
        <w:t>Y V Reddy</w:t>
      </w:r>
      <w:r w:rsidR="00F97CF5">
        <w:rPr>
          <w:rStyle w:val="FootnoteReference"/>
          <w:rFonts w:ascii="Verdana" w:hAnsi="Verdana"/>
        </w:rPr>
        <w:footnoteReference w:id="1"/>
      </w:r>
      <w:r>
        <w:rPr>
          <w:rFonts w:ascii="Verdana" w:hAnsi="Verdana"/>
        </w:rPr>
        <w:t xml:space="preserve"> </w:t>
      </w:r>
    </w:p>
    <w:p w:rsidR="007A4718" w:rsidRDefault="007A4718" w:rsidP="005D6AE7">
      <w:pPr>
        <w:pStyle w:val="NoSpacing"/>
        <w:jc w:val="center"/>
        <w:rPr>
          <w:rFonts w:ascii="Verdana" w:hAnsi="Verdana"/>
        </w:rPr>
      </w:pPr>
    </w:p>
    <w:p w:rsidR="007A4718" w:rsidRDefault="007A4718" w:rsidP="005D6AE7">
      <w:pPr>
        <w:pStyle w:val="NoSpacing"/>
        <w:jc w:val="center"/>
        <w:rPr>
          <w:rFonts w:ascii="Verdana" w:hAnsi="Verdana"/>
        </w:rPr>
      </w:pPr>
    </w:p>
    <w:p w:rsidR="007A4718" w:rsidRDefault="007A4718" w:rsidP="007A4718">
      <w:pPr>
        <w:pStyle w:val="NoSpacing"/>
        <w:spacing w:line="480" w:lineRule="auto"/>
        <w:rPr>
          <w:rFonts w:ascii="Verdana" w:hAnsi="Verdana"/>
        </w:rPr>
      </w:pPr>
      <w:r>
        <w:rPr>
          <w:rFonts w:ascii="Verdana" w:hAnsi="Verdana"/>
        </w:rPr>
        <w:t>Dear Friends,</w:t>
      </w:r>
    </w:p>
    <w:p w:rsidR="00BA6D42" w:rsidRDefault="007A4718" w:rsidP="00BA6D42">
      <w:pPr>
        <w:pStyle w:val="NoSpacing"/>
        <w:spacing w:before="240" w:line="480" w:lineRule="auto"/>
        <w:jc w:val="both"/>
        <w:rPr>
          <w:rFonts w:ascii="Verdana" w:hAnsi="Verdana"/>
        </w:rPr>
      </w:pPr>
      <w:r>
        <w:rPr>
          <w:rFonts w:ascii="Verdana" w:hAnsi="Verdana"/>
        </w:rPr>
        <w:tab/>
        <w:t xml:space="preserve">I am greatly honoured by the kind invitation to deliver the Foundation Day Lecture of </w:t>
      </w:r>
      <w:r w:rsidR="00BF7B69">
        <w:rPr>
          <w:rFonts w:ascii="Verdana" w:hAnsi="Verdana"/>
        </w:rPr>
        <w:t xml:space="preserve">the </w:t>
      </w:r>
      <w:proofErr w:type="spellStart"/>
      <w:r>
        <w:rPr>
          <w:rFonts w:ascii="Verdana" w:hAnsi="Verdana"/>
        </w:rPr>
        <w:t>MIDS.</w:t>
      </w:r>
      <w:proofErr w:type="spellEnd"/>
      <w:r>
        <w:rPr>
          <w:rFonts w:ascii="Verdana" w:hAnsi="Verdana"/>
        </w:rPr>
        <w:t xml:space="preserve">  </w:t>
      </w:r>
      <w:r w:rsidR="00BA6D42">
        <w:rPr>
          <w:rFonts w:ascii="Verdana" w:hAnsi="Verdana"/>
        </w:rPr>
        <w:t xml:space="preserve">I am grateful to the Chairman </w:t>
      </w:r>
      <w:r w:rsidR="00AE316C">
        <w:rPr>
          <w:rFonts w:ascii="Verdana" w:hAnsi="Verdana"/>
        </w:rPr>
        <w:t xml:space="preserve">Professor K L Krishna, Director P G </w:t>
      </w:r>
      <w:proofErr w:type="spellStart"/>
      <w:r w:rsidR="00AE316C">
        <w:rPr>
          <w:rFonts w:ascii="Verdana" w:hAnsi="Verdana"/>
        </w:rPr>
        <w:t>Babu</w:t>
      </w:r>
      <w:proofErr w:type="spellEnd"/>
      <w:r w:rsidR="00AE316C">
        <w:rPr>
          <w:rFonts w:ascii="Verdana" w:hAnsi="Verdana"/>
        </w:rPr>
        <w:t xml:space="preserve"> and Professor </w:t>
      </w:r>
      <w:proofErr w:type="spellStart"/>
      <w:r w:rsidR="00AE316C">
        <w:rPr>
          <w:rFonts w:ascii="Verdana" w:hAnsi="Verdana"/>
        </w:rPr>
        <w:t>Venkatachalapathy</w:t>
      </w:r>
      <w:proofErr w:type="spellEnd"/>
      <w:r w:rsidR="00AE316C">
        <w:rPr>
          <w:rFonts w:ascii="Verdana" w:hAnsi="Verdana"/>
        </w:rPr>
        <w:t xml:space="preserve">, for giving me this opportunity to visit </w:t>
      </w:r>
      <w:proofErr w:type="spellStart"/>
      <w:r w:rsidR="00AE316C">
        <w:rPr>
          <w:rFonts w:ascii="Verdana" w:hAnsi="Verdana"/>
        </w:rPr>
        <w:t>MIDS</w:t>
      </w:r>
      <w:proofErr w:type="spellEnd"/>
      <w:r w:rsidR="00AE316C">
        <w:rPr>
          <w:rFonts w:ascii="Verdana" w:hAnsi="Verdana"/>
        </w:rPr>
        <w:t xml:space="preserve"> again.  I had the privilege of interacting with several eminent personalities associated with </w:t>
      </w:r>
      <w:proofErr w:type="spellStart"/>
      <w:r w:rsidR="00AE316C">
        <w:rPr>
          <w:rFonts w:ascii="Verdana" w:hAnsi="Verdana"/>
        </w:rPr>
        <w:t>MIDS</w:t>
      </w:r>
      <w:proofErr w:type="spellEnd"/>
      <w:r w:rsidR="00AE316C">
        <w:rPr>
          <w:rFonts w:ascii="Verdana" w:hAnsi="Verdana"/>
        </w:rPr>
        <w:t xml:space="preserve"> starting from Professor </w:t>
      </w:r>
      <w:proofErr w:type="spellStart"/>
      <w:r w:rsidR="00AE316C">
        <w:rPr>
          <w:rFonts w:ascii="Verdana" w:hAnsi="Verdana"/>
        </w:rPr>
        <w:t>Malcom</w:t>
      </w:r>
      <w:proofErr w:type="spellEnd"/>
      <w:r w:rsidR="00AE316C">
        <w:rPr>
          <w:rFonts w:ascii="Verdana" w:hAnsi="Verdana"/>
        </w:rPr>
        <w:t xml:space="preserve"> </w:t>
      </w:r>
      <w:proofErr w:type="spellStart"/>
      <w:r w:rsidR="00AE316C">
        <w:rPr>
          <w:rFonts w:ascii="Verdana" w:hAnsi="Verdana"/>
        </w:rPr>
        <w:t>Adhiseshaiah</w:t>
      </w:r>
      <w:proofErr w:type="spellEnd"/>
      <w:r w:rsidR="00AE316C">
        <w:rPr>
          <w:rFonts w:ascii="Verdana" w:hAnsi="Verdana"/>
        </w:rPr>
        <w:t>,</w:t>
      </w:r>
      <w:r w:rsidR="00FA299D">
        <w:rPr>
          <w:rFonts w:ascii="Verdana" w:hAnsi="Verdana"/>
        </w:rPr>
        <w:t xml:space="preserve"> and</w:t>
      </w:r>
      <w:r w:rsidR="00AE316C">
        <w:rPr>
          <w:rFonts w:ascii="Verdana" w:hAnsi="Verdana"/>
        </w:rPr>
        <w:t xml:space="preserve"> incl</w:t>
      </w:r>
      <w:r w:rsidR="00FA299D">
        <w:rPr>
          <w:rFonts w:ascii="Verdana" w:hAnsi="Verdana"/>
        </w:rPr>
        <w:t xml:space="preserve">uding Professor A. Vaidyanathan, </w:t>
      </w:r>
      <w:r w:rsidR="00AE316C">
        <w:rPr>
          <w:rFonts w:ascii="Verdana" w:hAnsi="Verdana"/>
        </w:rPr>
        <w:t xml:space="preserve">Professor </w:t>
      </w:r>
      <w:proofErr w:type="spellStart"/>
      <w:r w:rsidR="00AE316C">
        <w:rPr>
          <w:rFonts w:ascii="Verdana" w:hAnsi="Verdana"/>
        </w:rPr>
        <w:t>Kurien</w:t>
      </w:r>
      <w:proofErr w:type="spellEnd"/>
      <w:r w:rsidR="00FA299D">
        <w:rPr>
          <w:rFonts w:ascii="Verdana" w:hAnsi="Verdana"/>
        </w:rPr>
        <w:t xml:space="preserve">, and of course, my friend </w:t>
      </w:r>
      <w:r w:rsidR="0027546B">
        <w:rPr>
          <w:rFonts w:ascii="Verdana" w:hAnsi="Verdana"/>
        </w:rPr>
        <w:t xml:space="preserve">S. </w:t>
      </w:r>
      <w:proofErr w:type="spellStart"/>
      <w:r w:rsidR="00FA299D">
        <w:rPr>
          <w:rFonts w:ascii="Verdana" w:hAnsi="Verdana"/>
        </w:rPr>
        <w:t>Guhan</w:t>
      </w:r>
      <w:proofErr w:type="spellEnd"/>
      <w:r w:rsidR="00AE316C">
        <w:rPr>
          <w:rFonts w:ascii="Verdana" w:hAnsi="Verdana"/>
        </w:rPr>
        <w:t xml:space="preserve">.  </w:t>
      </w:r>
      <w:r w:rsidR="007E0D6E">
        <w:rPr>
          <w:rFonts w:ascii="Verdana" w:hAnsi="Verdana"/>
        </w:rPr>
        <w:t xml:space="preserve">The Institute has built a formidable reputation in applied economics, </w:t>
      </w:r>
      <w:r w:rsidR="0027546B">
        <w:rPr>
          <w:rFonts w:ascii="Verdana" w:hAnsi="Verdana"/>
        </w:rPr>
        <w:t xml:space="preserve">both in theoretical and </w:t>
      </w:r>
      <w:r w:rsidR="007E0D6E">
        <w:rPr>
          <w:rFonts w:ascii="Verdana" w:hAnsi="Verdana"/>
        </w:rPr>
        <w:t xml:space="preserve">empirical </w:t>
      </w:r>
      <w:r w:rsidR="0027546B">
        <w:rPr>
          <w:rFonts w:ascii="Verdana" w:hAnsi="Verdana"/>
        </w:rPr>
        <w:t>research.</w:t>
      </w:r>
      <w:r w:rsidR="007E0D6E">
        <w:rPr>
          <w:rFonts w:ascii="Verdana" w:hAnsi="Verdana"/>
        </w:rPr>
        <w:t xml:space="preserve">  </w:t>
      </w:r>
      <w:r w:rsidR="00031140">
        <w:rPr>
          <w:rFonts w:ascii="Verdana" w:hAnsi="Verdana"/>
        </w:rPr>
        <w:t>It has</w:t>
      </w:r>
      <w:r w:rsidR="002A39CD">
        <w:rPr>
          <w:rFonts w:ascii="Verdana" w:hAnsi="Verdana"/>
        </w:rPr>
        <w:t xml:space="preserve"> a refreshing</w:t>
      </w:r>
      <w:r w:rsidR="00926B48">
        <w:rPr>
          <w:rFonts w:ascii="Verdana" w:hAnsi="Verdana"/>
        </w:rPr>
        <w:t>ly</w:t>
      </w:r>
      <w:r w:rsidR="002A39CD">
        <w:rPr>
          <w:rFonts w:ascii="Verdana" w:hAnsi="Verdana"/>
        </w:rPr>
        <w:t xml:space="preserve"> progressive approach with sensitivity to social issues while being pragmatic in its outlook.  The depth and breadth of the Foundation Day Lectures in the past stand testimony to the </w:t>
      </w:r>
      <w:r w:rsidR="00C46CD2">
        <w:rPr>
          <w:rFonts w:ascii="Verdana" w:hAnsi="Verdana"/>
        </w:rPr>
        <w:t xml:space="preserve">high </w:t>
      </w:r>
      <w:r w:rsidR="002A39CD">
        <w:rPr>
          <w:rFonts w:ascii="Verdana" w:hAnsi="Verdana"/>
        </w:rPr>
        <w:t xml:space="preserve">level of debate that the Institute values.  </w:t>
      </w:r>
    </w:p>
    <w:p w:rsidR="00E13674" w:rsidRPr="007059D6" w:rsidRDefault="007059D6" w:rsidP="00BA6D42">
      <w:pPr>
        <w:pStyle w:val="NoSpacing"/>
        <w:spacing w:before="240" w:line="480" w:lineRule="auto"/>
        <w:jc w:val="both"/>
        <w:rPr>
          <w:rFonts w:ascii="Verdana" w:hAnsi="Verdana"/>
        </w:rPr>
      </w:pPr>
      <w:r>
        <w:rPr>
          <w:rFonts w:ascii="Verdana" w:hAnsi="Verdana"/>
          <w:b/>
        </w:rPr>
        <w:tab/>
      </w:r>
      <w:r>
        <w:rPr>
          <w:rFonts w:ascii="Verdana" w:hAnsi="Verdana"/>
        </w:rPr>
        <w:t xml:space="preserve">As a federation, we have two level fiscal </w:t>
      </w:r>
      <w:proofErr w:type="gramStart"/>
      <w:r>
        <w:rPr>
          <w:rFonts w:ascii="Verdana" w:hAnsi="Verdana"/>
        </w:rPr>
        <w:t>system</w:t>
      </w:r>
      <w:proofErr w:type="gramEnd"/>
      <w:r>
        <w:rPr>
          <w:rFonts w:ascii="Verdana" w:hAnsi="Verdana"/>
        </w:rPr>
        <w:t xml:space="preserve">, namely, Union and States.  The Constitution assigns revenue raising and expenditure decisions to the two levels.  It </w:t>
      </w:r>
      <w:r w:rsidR="0027546B">
        <w:rPr>
          <w:rFonts w:ascii="Verdana" w:hAnsi="Verdana"/>
        </w:rPr>
        <w:t xml:space="preserve">broadly </w:t>
      </w:r>
      <w:r>
        <w:rPr>
          <w:rFonts w:ascii="Verdana" w:hAnsi="Verdana"/>
        </w:rPr>
        <w:t>applies the comparative advantage principle</w:t>
      </w:r>
      <w:r w:rsidR="0027546B">
        <w:rPr>
          <w:rFonts w:ascii="Verdana" w:hAnsi="Verdana"/>
        </w:rPr>
        <w:t xml:space="preserve"> in assigning tax powers and expenditure functions</w:t>
      </w:r>
      <w:r>
        <w:rPr>
          <w:rFonts w:ascii="Verdana" w:hAnsi="Verdana"/>
        </w:rPr>
        <w:t xml:space="preserve">.  It also recognises the imbalances that arise as a consequence and provides for a mechanism </w:t>
      </w:r>
      <w:r w:rsidR="006722C3">
        <w:rPr>
          <w:rFonts w:ascii="Verdana" w:hAnsi="Verdana"/>
        </w:rPr>
        <w:t>to resolve</w:t>
      </w:r>
      <w:r>
        <w:rPr>
          <w:rFonts w:ascii="Verdana" w:hAnsi="Verdana"/>
        </w:rPr>
        <w:t xml:space="preserve"> the vertical (between Union and State) an</w:t>
      </w:r>
      <w:r w:rsidR="00EE3A1F">
        <w:rPr>
          <w:rFonts w:ascii="Verdana" w:hAnsi="Verdana"/>
        </w:rPr>
        <w:t>d horizontal (among the States)</w:t>
      </w:r>
      <w:r w:rsidR="006722C3">
        <w:rPr>
          <w:rFonts w:ascii="Verdana" w:hAnsi="Verdana"/>
        </w:rPr>
        <w:t xml:space="preserve"> mismatch between revenue and </w:t>
      </w:r>
      <w:r w:rsidR="006722C3">
        <w:rPr>
          <w:rFonts w:ascii="Verdana" w:hAnsi="Verdana"/>
        </w:rPr>
        <w:lastRenderedPageBreak/>
        <w:t>expenditure assignments</w:t>
      </w:r>
      <w:r w:rsidR="00EE3A1F">
        <w:rPr>
          <w:rFonts w:ascii="Verdana" w:hAnsi="Verdana"/>
        </w:rPr>
        <w:t>.</w:t>
      </w:r>
      <w:r>
        <w:rPr>
          <w:rFonts w:ascii="Verdana" w:hAnsi="Verdana"/>
        </w:rPr>
        <w:t xml:space="preserve"> The institutional arrangement is Finance Commission.  </w:t>
      </w:r>
      <w:r w:rsidR="00BB463C">
        <w:rPr>
          <w:rFonts w:ascii="Verdana" w:hAnsi="Verdana"/>
        </w:rPr>
        <w:t>But, transfers can take place and do take place outside of the Finance Commission also.  The</w:t>
      </w:r>
      <w:r w:rsidR="00E865B4">
        <w:rPr>
          <w:rFonts w:ascii="Verdana" w:hAnsi="Verdana"/>
        </w:rPr>
        <w:t>se</w:t>
      </w:r>
      <w:r w:rsidR="00BB463C">
        <w:rPr>
          <w:rFonts w:ascii="Verdana" w:hAnsi="Verdana"/>
        </w:rPr>
        <w:t xml:space="preserve"> had the benefit of advice of Planning Commission then, and more recently, NITI Aayog.  Significant literature exists on this subject, including </w:t>
      </w:r>
      <w:r w:rsidR="006722C3">
        <w:rPr>
          <w:rFonts w:ascii="Verdana" w:hAnsi="Verdana"/>
        </w:rPr>
        <w:t xml:space="preserve">my recent </w:t>
      </w:r>
      <w:r w:rsidR="00BB463C">
        <w:rPr>
          <w:rFonts w:ascii="Verdana" w:hAnsi="Verdana"/>
        </w:rPr>
        <w:t>book</w:t>
      </w:r>
      <w:r w:rsidR="006722C3">
        <w:rPr>
          <w:rFonts w:ascii="Verdana" w:hAnsi="Verdana"/>
        </w:rPr>
        <w:t xml:space="preserve"> on the subject</w:t>
      </w:r>
      <w:r w:rsidR="00BB463C">
        <w:rPr>
          <w:rFonts w:ascii="Verdana" w:hAnsi="Verdana"/>
        </w:rPr>
        <w:t xml:space="preserve">.  My lecture today focuses on </w:t>
      </w:r>
      <w:r w:rsidR="003C3101">
        <w:rPr>
          <w:rFonts w:ascii="Verdana" w:hAnsi="Verdana"/>
        </w:rPr>
        <w:t xml:space="preserve">more </w:t>
      </w:r>
      <w:r w:rsidR="00BB463C">
        <w:rPr>
          <w:rFonts w:ascii="Verdana" w:hAnsi="Verdana"/>
        </w:rPr>
        <w:t xml:space="preserve">recent developments in fiscal federalism in India which </w:t>
      </w:r>
      <w:proofErr w:type="gramStart"/>
      <w:r w:rsidR="00BB463C">
        <w:rPr>
          <w:rFonts w:ascii="Verdana" w:hAnsi="Verdana"/>
        </w:rPr>
        <w:t>have</w:t>
      </w:r>
      <w:proofErr w:type="gramEnd"/>
      <w:r w:rsidR="00BB463C">
        <w:rPr>
          <w:rFonts w:ascii="Verdana" w:hAnsi="Verdana"/>
        </w:rPr>
        <w:t xml:space="preserve"> led to suggestions for new approaches.  </w:t>
      </w:r>
    </w:p>
    <w:p w:rsidR="00F57C5B" w:rsidRDefault="00F4410E" w:rsidP="00E13674">
      <w:pPr>
        <w:pStyle w:val="NoSpacing"/>
        <w:spacing w:before="240" w:line="480" w:lineRule="auto"/>
        <w:jc w:val="both"/>
        <w:rPr>
          <w:rFonts w:ascii="Verdana" w:hAnsi="Verdana"/>
        </w:rPr>
      </w:pPr>
      <w:r>
        <w:rPr>
          <w:rFonts w:ascii="Verdana" w:hAnsi="Verdana"/>
        </w:rPr>
        <w:tab/>
        <w:t>Fiscal Federalism in India has been impacted considerably by several recent events – in particular,</w:t>
      </w:r>
      <w:r w:rsidR="0055159A">
        <w:rPr>
          <w:rFonts w:ascii="Verdana" w:hAnsi="Verdana"/>
        </w:rPr>
        <w:t xml:space="preserve"> the implemen</w:t>
      </w:r>
      <w:r w:rsidR="008C1517">
        <w:rPr>
          <w:rFonts w:ascii="Verdana" w:hAnsi="Verdana"/>
        </w:rPr>
        <w:t>tation of the award of the XIV</w:t>
      </w:r>
      <w:r w:rsidR="0055159A">
        <w:rPr>
          <w:rFonts w:ascii="Verdana" w:hAnsi="Verdana"/>
        </w:rPr>
        <w:t xml:space="preserve"> Fin</w:t>
      </w:r>
      <w:r w:rsidR="00A87C21">
        <w:rPr>
          <w:rFonts w:ascii="Verdana" w:hAnsi="Verdana"/>
        </w:rPr>
        <w:t>a</w:t>
      </w:r>
      <w:r w:rsidR="0055159A">
        <w:rPr>
          <w:rFonts w:ascii="Verdana" w:hAnsi="Verdana"/>
        </w:rPr>
        <w:t>nce Commission,</w:t>
      </w:r>
      <w:r>
        <w:rPr>
          <w:rFonts w:ascii="Verdana" w:hAnsi="Verdana"/>
        </w:rPr>
        <w:t xml:space="preserve"> </w:t>
      </w:r>
      <w:r w:rsidR="009B70B5">
        <w:rPr>
          <w:rFonts w:ascii="Verdana" w:hAnsi="Verdana"/>
        </w:rPr>
        <w:t xml:space="preserve">the </w:t>
      </w:r>
      <w:r w:rsidR="006722C3">
        <w:rPr>
          <w:rFonts w:ascii="Verdana" w:hAnsi="Verdana"/>
        </w:rPr>
        <w:t xml:space="preserve">implementation of the </w:t>
      </w:r>
      <w:r>
        <w:rPr>
          <w:rFonts w:ascii="Verdana" w:hAnsi="Verdana"/>
        </w:rPr>
        <w:t xml:space="preserve">Goods and Services Tax, </w:t>
      </w:r>
      <w:r w:rsidR="006722C3">
        <w:rPr>
          <w:rFonts w:ascii="Verdana" w:hAnsi="Verdana"/>
        </w:rPr>
        <w:t xml:space="preserve">replacement of the </w:t>
      </w:r>
      <w:r>
        <w:rPr>
          <w:rFonts w:ascii="Verdana" w:hAnsi="Verdana"/>
        </w:rPr>
        <w:t xml:space="preserve">Planning Commission </w:t>
      </w:r>
      <w:r w:rsidR="006722C3">
        <w:rPr>
          <w:rFonts w:ascii="Verdana" w:hAnsi="Verdana"/>
        </w:rPr>
        <w:t xml:space="preserve">with the NITI Aayog </w:t>
      </w:r>
      <w:r>
        <w:rPr>
          <w:rFonts w:ascii="Verdana" w:hAnsi="Verdana"/>
        </w:rPr>
        <w:t xml:space="preserve">and the Terms of Reference of the XV Finance Commission.  </w:t>
      </w:r>
    </w:p>
    <w:p w:rsidR="00EE6F27" w:rsidRPr="00F57C5B" w:rsidRDefault="00F4410E" w:rsidP="00D42032">
      <w:pPr>
        <w:pStyle w:val="NoSpacing"/>
        <w:spacing w:before="240" w:line="480" w:lineRule="auto"/>
        <w:ind w:firstLine="720"/>
        <w:jc w:val="both"/>
        <w:rPr>
          <w:rFonts w:ascii="Verdana" w:hAnsi="Verdana"/>
        </w:rPr>
      </w:pPr>
      <w:r>
        <w:rPr>
          <w:rFonts w:ascii="Verdana" w:hAnsi="Verdana"/>
        </w:rPr>
        <w:t xml:space="preserve">The issues triggered by the recent events may be summarised as follows:  </w:t>
      </w:r>
      <w:r w:rsidR="00F57C5B">
        <w:rPr>
          <w:rFonts w:ascii="Verdana" w:hAnsi="Verdana"/>
        </w:rPr>
        <w:t xml:space="preserve">(a) </w:t>
      </w:r>
      <w:r w:rsidR="00F90836" w:rsidRPr="002E4BAD">
        <w:rPr>
          <w:rFonts w:ascii="Verdana" w:hAnsi="Verdana"/>
        </w:rPr>
        <w:t xml:space="preserve">The manner </w:t>
      </w:r>
      <w:r w:rsidR="00A87C21" w:rsidRPr="002E4BAD">
        <w:rPr>
          <w:rFonts w:ascii="Verdana" w:hAnsi="Verdana"/>
        </w:rPr>
        <w:t xml:space="preserve">in </w:t>
      </w:r>
      <w:r w:rsidR="00F90836" w:rsidRPr="002E4BAD">
        <w:rPr>
          <w:rFonts w:ascii="Verdana" w:hAnsi="Verdana"/>
        </w:rPr>
        <w:t>which the recommendation</w:t>
      </w:r>
      <w:r w:rsidR="00102F79">
        <w:rPr>
          <w:rFonts w:ascii="Verdana" w:hAnsi="Verdana"/>
        </w:rPr>
        <w:t>s</w:t>
      </w:r>
      <w:r w:rsidR="00F90836" w:rsidRPr="002E4BAD">
        <w:rPr>
          <w:rFonts w:ascii="Verdana" w:hAnsi="Verdana"/>
        </w:rPr>
        <w:t xml:space="preserve"> of </w:t>
      </w:r>
      <w:r w:rsidR="003C3101">
        <w:rPr>
          <w:rFonts w:ascii="Verdana" w:hAnsi="Verdana"/>
        </w:rPr>
        <w:t>XIV</w:t>
      </w:r>
      <w:r w:rsidR="00F90836" w:rsidRPr="002E4BAD">
        <w:rPr>
          <w:rFonts w:ascii="Verdana" w:hAnsi="Verdana"/>
        </w:rPr>
        <w:t xml:space="preserve"> Finance Commission on vertical and horizontal balances have been </w:t>
      </w:r>
      <w:r w:rsidR="004D74F3" w:rsidRPr="002E4BAD">
        <w:rPr>
          <w:rFonts w:ascii="Verdana" w:hAnsi="Verdana"/>
        </w:rPr>
        <w:t>diluted</w:t>
      </w:r>
      <w:r w:rsidR="00A87C21" w:rsidRPr="002E4BAD">
        <w:rPr>
          <w:rFonts w:ascii="Verdana" w:hAnsi="Verdana"/>
        </w:rPr>
        <w:t>, resulting in a widening gap between perception and reality</w:t>
      </w:r>
      <w:r w:rsidR="00984432">
        <w:rPr>
          <w:rFonts w:ascii="Verdana" w:hAnsi="Verdana"/>
        </w:rPr>
        <w:t>;</w:t>
      </w:r>
      <w:r w:rsidR="002E4BAD" w:rsidRPr="002E4BAD">
        <w:rPr>
          <w:rFonts w:ascii="Verdana" w:hAnsi="Verdana"/>
        </w:rPr>
        <w:t xml:space="preserve"> </w:t>
      </w:r>
      <w:r w:rsidR="00984432">
        <w:rPr>
          <w:rFonts w:ascii="Verdana" w:hAnsi="Verdana"/>
        </w:rPr>
        <w:t xml:space="preserve">(b) </w:t>
      </w:r>
      <w:r w:rsidR="002D0405">
        <w:rPr>
          <w:rFonts w:ascii="Verdana" w:hAnsi="Verdana"/>
        </w:rPr>
        <w:t xml:space="preserve">The </w:t>
      </w:r>
      <w:r w:rsidR="0044392B">
        <w:rPr>
          <w:rFonts w:ascii="Verdana" w:hAnsi="Verdana"/>
        </w:rPr>
        <w:t xml:space="preserve">effect </w:t>
      </w:r>
      <w:r w:rsidR="002D0405">
        <w:rPr>
          <w:rFonts w:ascii="Verdana" w:hAnsi="Verdana"/>
        </w:rPr>
        <w:t xml:space="preserve">of changes in the fiscal responsibility framework suggested </w:t>
      </w:r>
      <w:r w:rsidR="0044392B">
        <w:rPr>
          <w:rFonts w:ascii="Verdana" w:hAnsi="Verdana"/>
        </w:rPr>
        <w:t xml:space="preserve">by FRBM Review Committee on the vertical and horizontal balances envisaged </w:t>
      </w:r>
      <w:r w:rsidR="00984432">
        <w:rPr>
          <w:rFonts w:ascii="Verdana" w:hAnsi="Verdana"/>
        </w:rPr>
        <w:t xml:space="preserve">by the </w:t>
      </w:r>
      <w:r w:rsidR="003C3101">
        <w:rPr>
          <w:rFonts w:ascii="Verdana" w:hAnsi="Verdana"/>
        </w:rPr>
        <w:t>XIV</w:t>
      </w:r>
      <w:r w:rsidR="00984432">
        <w:rPr>
          <w:rFonts w:ascii="Verdana" w:hAnsi="Verdana"/>
        </w:rPr>
        <w:t xml:space="preserve"> Finance Commission; (c) </w:t>
      </w:r>
      <w:r w:rsidR="002D0405">
        <w:rPr>
          <w:rFonts w:ascii="Verdana" w:hAnsi="Verdana"/>
        </w:rPr>
        <w:t xml:space="preserve"> </w:t>
      </w:r>
      <w:r w:rsidR="00CD2FF8">
        <w:rPr>
          <w:rFonts w:ascii="Verdana" w:hAnsi="Verdana"/>
        </w:rPr>
        <w:t>The impact of the implementation of GST on the overall</w:t>
      </w:r>
      <w:r w:rsidR="001F275E">
        <w:rPr>
          <w:rFonts w:ascii="Verdana" w:hAnsi="Verdana"/>
        </w:rPr>
        <w:t xml:space="preserve"> fiscal space available to the S</w:t>
      </w:r>
      <w:r w:rsidR="00CD2FF8">
        <w:rPr>
          <w:rFonts w:ascii="Verdana" w:hAnsi="Verdana"/>
        </w:rPr>
        <w:t xml:space="preserve">tates and </w:t>
      </w:r>
      <w:r w:rsidR="00D954A3">
        <w:rPr>
          <w:rFonts w:ascii="Verdana" w:hAnsi="Verdana"/>
        </w:rPr>
        <w:t>C</w:t>
      </w:r>
      <w:r w:rsidR="00984432">
        <w:rPr>
          <w:rFonts w:ascii="Verdana" w:hAnsi="Verdana"/>
        </w:rPr>
        <w:t xml:space="preserve">entre, relative to the past; (d) </w:t>
      </w:r>
      <w:r w:rsidR="00CD2FF8">
        <w:rPr>
          <w:rFonts w:ascii="Verdana" w:hAnsi="Verdana"/>
        </w:rPr>
        <w:t xml:space="preserve">  </w:t>
      </w:r>
      <w:r w:rsidR="0044392B">
        <w:rPr>
          <w:rFonts w:ascii="Verdana" w:hAnsi="Verdana"/>
        </w:rPr>
        <w:t>The controversies</w:t>
      </w:r>
      <w:r w:rsidR="00266285">
        <w:rPr>
          <w:rFonts w:ascii="Verdana" w:hAnsi="Verdana"/>
        </w:rPr>
        <w:t xml:space="preserve"> surrounding Terms of Referen</w:t>
      </w:r>
      <w:r w:rsidR="00984432">
        <w:rPr>
          <w:rFonts w:ascii="Verdana" w:hAnsi="Verdana"/>
        </w:rPr>
        <w:t>ce of the XV Finance Commission;</w:t>
      </w:r>
      <w:r w:rsidR="008002A1">
        <w:rPr>
          <w:rFonts w:ascii="Verdana" w:hAnsi="Verdana"/>
        </w:rPr>
        <w:t xml:space="preserve"> and</w:t>
      </w:r>
      <w:r w:rsidR="00984432">
        <w:rPr>
          <w:rFonts w:ascii="Verdana" w:hAnsi="Verdana"/>
        </w:rPr>
        <w:t xml:space="preserve"> (e) </w:t>
      </w:r>
      <w:r w:rsidR="00266285">
        <w:rPr>
          <w:rFonts w:ascii="Verdana" w:hAnsi="Verdana"/>
        </w:rPr>
        <w:t xml:space="preserve"> </w:t>
      </w:r>
      <w:r w:rsidR="0044392B">
        <w:rPr>
          <w:rFonts w:ascii="Verdana" w:hAnsi="Verdana"/>
        </w:rPr>
        <w:t xml:space="preserve">The </w:t>
      </w:r>
      <w:r w:rsidR="00D954A1">
        <w:rPr>
          <w:rFonts w:ascii="Verdana" w:hAnsi="Verdana"/>
        </w:rPr>
        <w:t>loss of revenue to States due to tax exemptions granted in the Union budget of 2019-20, in addit</w:t>
      </w:r>
      <w:r w:rsidR="00D42032">
        <w:rPr>
          <w:rFonts w:ascii="Verdana" w:hAnsi="Verdana"/>
        </w:rPr>
        <w:t>i</w:t>
      </w:r>
      <w:r w:rsidR="008002A1">
        <w:rPr>
          <w:rFonts w:ascii="Verdana" w:hAnsi="Verdana"/>
        </w:rPr>
        <w:t xml:space="preserve">on to the existing infirmities.  </w:t>
      </w:r>
    </w:p>
    <w:p w:rsidR="003B73A4" w:rsidRDefault="005E4D67" w:rsidP="00CA670D">
      <w:pPr>
        <w:pStyle w:val="NoSpacing"/>
        <w:spacing w:before="240" w:line="480" w:lineRule="auto"/>
        <w:ind w:firstLine="720"/>
        <w:jc w:val="both"/>
        <w:rPr>
          <w:rFonts w:ascii="Verdana" w:hAnsi="Verdana"/>
        </w:rPr>
      </w:pPr>
      <w:r>
        <w:rPr>
          <w:rFonts w:ascii="Verdana" w:hAnsi="Verdana"/>
        </w:rPr>
        <w:lastRenderedPageBreak/>
        <w:t>In parallel</w:t>
      </w:r>
      <w:r w:rsidR="0088032E">
        <w:rPr>
          <w:rFonts w:ascii="Verdana" w:hAnsi="Verdana"/>
        </w:rPr>
        <w:t>, several eminent economi</w:t>
      </w:r>
      <w:r w:rsidR="00A52FAE">
        <w:rPr>
          <w:rFonts w:ascii="Verdana" w:hAnsi="Verdana"/>
        </w:rPr>
        <w:t>s</w:t>
      </w:r>
      <w:r w:rsidR="0088032E">
        <w:rPr>
          <w:rFonts w:ascii="Verdana" w:hAnsi="Verdana"/>
        </w:rPr>
        <w:t>ts</w:t>
      </w:r>
      <w:r w:rsidR="00A52FAE">
        <w:rPr>
          <w:rFonts w:ascii="Verdana" w:hAnsi="Verdana"/>
        </w:rPr>
        <w:t xml:space="preserve"> and policy-makers have floated new </w:t>
      </w:r>
      <w:r w:rsidR="00DA1B68">
        <w:rPr>
          <w:rFonts w:ascii="Verdana" w:hAnsi="Verdana"/>
        </w:rPr>
        <w:t xml:space="preserve">approaches </w:t>
      </w:r>
      <w:r w:rsidR="00A52FAE">
        <w:rPr>
          <w:rFonts w:ascii="Verdana" w:hAnsi="Verdana"/>
        </w:rPr>
        <w:t>to address</w:t>
      </w:r>
      <w:r w:rsidR="0088032E">
        <w:rPr>
          <w:rFonts w:ascii="Verdana" w:hAnsi="Verdana"/>
        </w:rPr>
        <w:t xml:space="preserve"> the perceived</w:t>
      </w:r>
      <w:r w:rsidR="00A52FAE">
        <w:rPr>
          <w:rFonts w:ascii="Verdana" w:hAnsi="Verdana"/>
        </w:rPr>
        <w:t xml:space="preserve"> problems relating to Fiscal Federalism.  </w:t>
      </w:r>
      <w:r w:rsidR="00992B25">
        <w:rPr>
          <w:rFonts w:ascii="Verdana" w:hAnsi="Verdana"/>
        </w:rPr>
        <w:t xml:space="preserve">These include </w:t>
      </w:r>
      <w:proofErr w:type="spellStart"/>
      <w:r w:rsidR="00992B25">
        <w:rPr>
          <w:rFonts w:ascii="Verdana" w:hAnsi="Verdana"/>
        </w:rPr>
        <w:t>Arvind</w:t>
      </w:r>
      <w:proofErr w:type="spellEnd"/>
      <w:r w:rsidR="00992B25">
        <w:rPr>
          <w:rFonts w:ascii="Verdana" w:hAnsi="Verdana"/>
        </w:rPr>
        <w:t xml:space="preserve"> Subramanian</w:t>
      </w:r>
      <w:r w:rsidR="00803C1C">
        <w:rPr>
          <w:rFonts w:ascii="Verdana" w:hAnsi="Verdana"/>
        </w:rPr>
        <w:t xml:space="preserve">'s </w:t>
      </w:r>
      <w:r w:rsidR="0034765F">
        <w:rPr>
          <w:rFonts w:ascii="Verdana" w:hAnsi="Verdana"/>
        </w:rPr>
        <w:t>exposition in his book "</w:t>
      </w:r>
      <w:r w:rsidR="0088032E">
        <w:rPr>
          <w:rFonts w:ascii="Verdana" w:hAnsi="Verdana"/>
        </w:rPr>
        <w:t xml:space="preserve">Of Counsel" </w:t>
      </w:r>
      <w:r w:rsidR="0034765F">
        <w:rPr>
          <w:rFonts w:ascii="Verdana" w:hAnsi="Verdana"/>
        </w:rPr>
        <w:t xml:space="preserve">and </w:t>
      </w:r>
      <w:r w:rsidR="0088032E">
        <w:rPr>
          <w:rFonts w:ascii="Verdana" w:hAnsi="Verdana"/>
        </w:rPr>
        <w:t>Professor</w:t>
      </w:r>
      <w:r w:rsidR="0034765F">
        <w:rPr>
          <w:rFonts w:ascii="Verdana" w:hAnsi="Verdana"/>
        </w:rPr>
        <w:t xml:space="preserve"> </w:t>
      </w:r>
      <w:proofErr w:type="spellStart"/>
      <w:r w:rsidR="0034765F">
        <w:rPr>
          <w:rFonts w:ascii="Verdana" w:hAnsi="Verdana"/>
        </w:rPr>
        <w:t>Sukh</w:t>
      </w:r>
      <w:r w:rsidR="00344E7C">
        <w:rPr>
          <w:rFonts w:ascii="Verdana" w:hAnsi="Verdana"/>
        </w:rPr>
        <w:t>a</w:t>
      </w:r>
      <w:r w:rsidR="0034765F">
        <w:rPr>
          <w:rFonts w:ascii="Verdana" w:hAnsi="Verdana"/>
        </w:rPr>
        <w:t>moy</w:t>
      </w:r>
      <w:proofErr w:type="spellEnd"/>
      <w:r w:rsidR="0034765F">
        <w:rPr>
          <w:rFonts w:ascii="Verdana" w:hAnsi="Verdana"/>
        </w:rPr>
        <w:t xml:space="preserve"> Chakraborty </w:t>
      </w:r>
      <w:r w:rsidR="00CA670D">
        <w:rPr>
          <w:rFonts w:ascii="Verdana" w:hAnsi="Verdana"/>
        </w:rPr>
        <w:t>Memorial L</w:t>
      </w:r>
      <w:r w:rsidR="0034765F">
        <w:rPr>
          <w:rFonts w:ascii="Verdana" w:hAnsi="Verdana"/>
        </w:rPr>
        <w:t xml:space="preserve">ecture titled "Towards India's New Federalism" </w:t>
      </w:r>
      <w:r w:rsidR="00CA670D">
        <w:rPr>
          <w:rFonts w:ascii="Verdana" w:hAnsi="Verdana"/>
        </w:rPr>
        <w:t xml:space="preserve">delivered </w:t>
      </w:r>
      <w:r w:rsidR="0034765F">
        <w:rPr>
          <w:rFonts w:ascii="Verdana" w:hAnsi="Verdana"/>
        </w:rPr>
        <w:t>by Dr. Vijay Kelkar</w:t>
      </w:r>
      <w:r w:rsidR="00B711DB">
        <w:rPr>
          <w:rFonts w:ascii="Verdana" w:hAnsi="Verdana"/>
        </w:rPr>
        <w:t xml:space="preserve"> (Chairman XIII Finance Commission)</w:t>
      </w:r>
      <w:r w:rsidR="0058085C">
        <w:rPr>
          <w:rFonts w:ascii="Verdana" w:hAnsi="Verdana"/>
        </w:rPr>
        <w:t xml:space="preserve"> (Kelkar 2019)</w:t>
      </w:r>
      <w:r w:rsidR="0034765F">
        <w:rPr>
          <w:rFonts w:ascii="Verdana" w:hAnsi="Verdana"/>
        </w:rPr>
        <w:t xml:space="preserve">, and </w:t>
      </w:r>
      <w:r w:rsidR="00064F3C">
        <w:rPr>
          <w:rFonts w:ascii="Verdana" w:hAnsi="Verdana"/>
        </w:rPr>
        <w:t xml:space="preserve">common </w:t>
      </w:r>
      <w:r w:rsidR="00B711DB">
        <w:rPr>
          <w:rFonts w:ascii="Verdana" w:hAnsi="Verdana"/>
        </w:rPr>
        <w:t xml:space="preserve">memorandum by select States to </w:t>
      </w:r>
      <w:r w:rsidR="0034765F">
        <w:rPr>
          <w:rFonts w:ascii="Verdana" w:hAnsi="Verdana"/>
        </w:rPr>
        <w:t xml:space="preserve">the President of India with Professor </w:t>
      </w:r>
      <w:r w:rsidR="00EE08B5">
        <w:rPr>
          <w:rFonts w:ascii="Verdana" w:hAnsi="Verdana"/>
        </w:rPr>
        <w:t xml:space="preserve">Isaac, </w:t>
      </w:r>
      <w:r w:rsidR="0034765F">
        <w:rPr>
          <w:rFonts w:ascii="Verdana" w:hAnsi="Verdana"/>
        </w:rPr>
        <w:t xml:space="preserve">the </w:t>
      </w:r>
      <w:r w:rsidR="007A5FCF">
        <w:rPr>
          <w:rFonts w:ascii="Verdana" w:hAnsi="Verdana"/>
        </w:rPr>
        <w:t>Finance</w:t>
      </w:r>
      <w:r w:rsidR="0034765F">
        <w:rPr>
          <w:rFonts w:ascii="Verdana" w:hAnsi="Verdana"/>
        </w:rPr>
        <w:t xml:space="preserve"> Minister of Kerala taking a leading role.  </w:t>
      </w:r>
      <w:r w:rsidR="00B711DB">
        <w:rPr>
          <w:rFonts w:ascii="Verdana" w:hAnsi="Verdana"/>
        </w:rPr>
        <w:t xml:space="preserve">Dr. Rangarajan made some suggestions in Chennai in an event on 8th March to simplify the whole approach. </w:t>
      </w:r>
      <w:r w:rsidR="00992B25">
        <w:rPr>
          <w:rFonts w:ascii="Verdana" w:hAnsi="Verdana"/>
        </w:rPr>
        <w:t xml:space="preserve">Dr. Govinda Rao has proposed redesigning of fiscal transfer system in India. </w:t>
      </w:r>
      <w:r w:rsidR="00B711DB">
        <w:rPr>
          <w:rFonts w:ascii="Verdana" w:hAnsi="Verdana"/>
        </w:rPr>
        <w:t xml:space="preserve"> </w:t>
      </w:r>
      <w:r w:rsidR="00625D92">
        <w:rPr>
          <w:rFonts w:ascii="Verdana" w:hAnsi="Verdana"/>
        </w:rPr>
        <w:t xml:space="preserve">Governor Das, among other things, </w:t>
      </w:r>
      <w:r w:rsidR="00B711DB">
        <w:rPr>
          <w:rFonts w:ascii="Verdana" w:hAnsi="Verdana"/>
        </w:rPr>
        <w:t xml:space="preserve">renewed </w:t>
      </w:r>
      <w:r w:rsidR="00926B48">
        <w:rPr>
          <w:rFonts w:ascii="Verdana" w:hAnsi="Verdana"/>
        </w:rPr>
        <w:t xml:space="preserve">the </w:t>
      </w:r>
      <w:r w:rsidR="00625D92">
        <w:rPr>
          <w:rFonts w:ascii="Verdana" w:hAnsi="Verdana"/>
        </w:rPr>
        <w:t>suggestion</w:t>
      </w:r>
      <w:r w:rsidR="00ED211E">
        <w:rPr>
          <w:rFonts w:ascii="Verdana" w:hAnsi="Verdana"/>
        </w:rPr>
        <w:t xml:space="preserve"> </w:t>
      </w:r>
      <w:r w:rsidR="00B711DB">
        <w:rPr>
          <w:rFonts w:ascii="Verdana" w:hAnsi="Verdana"/>
        </w:rPr>
        <w:t xml:space="preserve">to make the Finance Commission a continuing body </w:t>
      </w:r>
      <w:r w:rsidR="00625D92">
        <w:rPr>
          <w:rFonts w:ascii="Verdana" w:hAnsi="Verdana"/>
        </w:rPr>
        <w:t>in the interest of continuity</w:t>
      </w:r>
      <w:r w:rsidR="00B711DB">
        <w:rPr>
          <w:rFonts w:ascii="Verdana" w:hAnsi="Verdana"/>
        </w:rPr>
        <w:t xml:space="preserve">.  In brief, </w:t>
      </w:r>
      <w:r w:rsidR="001A12F1">
        <w:rPr>
          <w:rFonts w:ascii="Verdana" w:hAnsi="Verdana"/>
        </w:rPr>
        <w:t xml:space="preserve">there </w:t>
      </w:r>
      <w:r w:rsidR="00B711DB">
        <w:rPr>
          <w:rFonts w:ascii="Verdana" w:hAnsi="Verdana"/>
        </w:rPr>
        <w:t>is a search for new approaches to fiscal federalism in India</w:t>
      </w:r>
      <w:r w:rsidR="00C74174">
        <w:rPr>
          <w:rFonts w:ascii="Verdana" w:hAnsi="Verdana"/>
        </w:rPr>
        <w:t xml:space="preserve"> which I propose to analyse.  </w:t>
      </w:r>
    </w:p>
    <w:p w:rsidR="00CD7E70" w:rsidRDefault="00CD7E70" w:rsidP="00CA670D">
      <w:pPr>
        <w:pStyle w:val="NoSpacing"/>
        <w:spacing w:before="240" w:line="480" w:lineRule="auto"/>
        <w:ind w:firstLine="720"/>
        <w:jc w:val="both"/>
        <w:rPr>
          <w:rFonts w:ascii="Verdana" w:hAnsi="Verdana"/>
        </w:rPr>
      </w:pPr>
      <w:r>
        <w:rPr>
          <w:rFonts w:ascii="Verdana" w:hAnsi="Verdana"/>
        </w:rPr>
        <w:t xml:space="preserve">The concluding part, the way forward, </w:t>
      </w:r>
      <w:r w:rsidR="009E56C0">
        <w:rPr>
          <w:rFonts w:ascii="Verdana" w:hAnsi="Verdana"/>
        </w:rPr>
        <w:t xml:space="preserve">attempts a synthesis of the approaches, </w:t>
      </w:r>
      <w:r w:rsidR="00720F21">
        <w:rPr>
          <w:rFonts w:ascii="Verdana" w:hAnsi="Verdana"/>
        </w:rPr>
        <w:t xml:space="preserve">while taking </w:t>
      </w:r>
      <w:r w:rsidR="009E56C0">
        <w:rPr>
          <w:rFonts w:ascii="Verdana" w:hAnsi="Verdana"/>
        </w:rPr>
        <w:t xml:space="preserve">account of lessons of experience.  </w:t>
      </w:r>
    </w:p>
    <w:p w:rsidR="004452AC" w:rsidRPr="004452AC" w:rsidRDefault="004452AC" w:rsidP="00192189">
      <w:pPr>
        <w:pStyle w:val="NoSpacing"/>
        <w:spacing w:before="240" w:line="480" w:lineRule="auto"/>
        <w:jc w:val="center"/>
        <w:rPr>
          <w:rFonts w:ascii="Verdana" w:hAnsi="Verdana"/>
        </w:rPr>
      </w:pPr>
      <w:r>
        <w:rPr>
          <w:rFonts w:ascii="Verdana" w:hAnsi="Verdana"/>
          <w:b/>
          <w:u w:val="single"/>
        </w:rPr>
        <w:t>PART ONE: RECENT DEVELOPMENTS</w:t>
      </w:r>
    </w:p>
    <w:p w:rsidR="00017205" w:rsidRDefault="00003D2D" w:rsidP="003879B6">
      <w:pPr>
        <w:pStyle w:val="NoSpacing"/>
        <w:spacing w:line="480" w:lineRule="auto"/>
        <w:jc w:val="both"/>
        <w:rPr>
          <w:rFonts w:ascii="Verdana" w:hAnsi="Verdana"/>
        </w:rPr>
      </w:pPr>
      <w:r>
        <w:rPr>
          <w:rFonts w:ascii="Verdana" w:hAnsi="Verdana"/>
          <w:b/>
          <w:u w:val="single"/>
        </w:rPr>
        <w:t>Perception and Reality</w:t>
      </w:r>
      <w:r>
        <w:rPr>
          <w:rFonts w:ascii="Verdana" w:hAnsi="Verdana"/>
        </w:rPr>
        <w:t xml:space="preserve"> </w:t>
      </w:r>
    </w:p>
    <w:p w:rsidR="00D05E09" w:rsidRPr="00192189" w:rsidRDefault="0052434C" w:rsidP="00751843">
      <w:pPr>
        <w:autoSpaceDE w:val="0"/>
        <w:autoSpaceDN w:val="0"/>
        <w:adjustRightInd w:val="0"/>
        <w:spacing w:after="0" w:line="480" w:lineRule="auto"/>
        <w:ind w:firstLine="720"/>
        <w:jc w:val="both"/>
        <w:rPr>
          <w:rFonts w:ascii="Verdana" w:hAnsi="Verdana" w:cs="CalistoMT-Italic"/>
          <w:iCs/>
          <w:color w:val="000000"/>
        </w:rPr>
      </w:pPr>
      <w:r>
        <w:rPr>
          <w:rFonts w:ascii="Verdana" w:hAnsi="Verdana"/>
        </w:rPr>
        <w:t xml:space="preserve">The </w:t>
      </w:r>
      <w:r w:rsidR="003C3101">
        <w:rPr>
          <w:rFonts w:ascii="Verdana" w:hAnsi="Verdana"/>
        </w:rPr>
        <w:t>XIV</w:t>
      </w:r>
      <w:r>
        <w:rPr>
          <w:rFonts w:ascii="Verdana" w:hAnsi="Verdana"/>
        </w:rPr>
        <w:t xml:space="preserve"> Finance Commission recommended an </w:t>
      </w:r>
      <w:r w:rsidR="00D720C0">
        <w:rPr>
          <w:rFonts w:ascii="Verdana" w:hAnsi="Verdana"/>
        </w:rPr>
        <w:t xml:space="preserve">increase in </w:t>
      </w:r>
      <w:r>
        <w:rPr>
          <w:rFonts w:ascii="Verdana" w:hAnsi="Verdana"/>
        </w:rPr>
        <w:t xml:space="preserve">tax devolution from 32 to 42%.  This </w:t>
      </w:r>
      <w:r w:rsidR="00D720C0">
        <w:rPr>
          <w:rFonts w:ascii="Verdana" w:hAnsi="Verdana"/>
        </w:rPr>
        <w:t xml:space="preserve">has been </w:t>
      </w:r>
      <w:r w:rsidR="00622A2A">
        <w:rPr>
          <w:rFonts w:ascii="Verdana" w:hAnsi="Verdana"/>
        </w:rPr>
        <w:t xml:space="preserve">perceived </w:t>
      </w:r>
      <w:r w:rsidR="00D720C0">
        <w:rPr>
          <w:rFonts w:ascii="Verdana" w:hAnsi="Verdana"/>
        </w:rPr>
        <w:t xml:space="preserve">to be substantial with considerable adverse impact on the fiscal space available to the Union.  </w:t>
      </w:r>
      <w:r w:rsidR="005714C1">
        <w:rPr>
          <w:rFonts w:ascii="Verdana" w:hAnsi="Verdana"/>
        </w:rPr>
        <w:t>The reality i</w:t>
      </w:r>
      <w:r w:rsidR="001F51CA">
        <w:rPr>
          <w:rFonts w:ascii="Verdana" w:hAnsi="Verdana"/>
        </w:rPr>
        <w:t xml:space="preserve">s different from the perception </w:t>
      </w:r>
      <w:r w:rsidR="00D720C0">
        <w:rPr>
          <w:rFonts w:ascii="Verdana" w:hAnsi="Verdana"/>
        </w:rPr>
        <w:t>as has been eloquently explained by Professor Govind</w:t>
      </w:r>
      <w:r w:rsidR="008C1517">
        <w:rPr>
          <w:rFonts w:ascii="Verdana" w:hAnsi="Verdana"/>
        </w:rPr>
        <w:t>a</w:t>
      </w:r>
      <w:r w:rsidR="00D720C0">
        <w:rPr>
          <w:rFonts w:ascii="Verdana" w:hAnsi="Verdana"/>
        </w:rPr>
        <w:t xml:space="preserve"> Rao.  He said: </w:t>
      </w:r>
      <w:r w:rsidR="00D05E09" w:rsidRPr="00D05E09">
        <w:rPr>
          <w:rFonts w:ascii="Verdana" w:hAnsi="Verdana" w:cs="CalistoMT-Italic"/>
          <w:i/>
          <w:iCs/>
          <w:color w:val="000000"/>
        </w:rPr>
        <w:t xml:space="preserve">‘First, the </w:t>
      </w:r>
      <w:r w:rsidR="003C3101">
        <w:rPr>
          <w:rFonts w:ascii="Verdana" w:hAnsi="Verdana" w:cs="CalistoMT-Italic"/>
          <w:i/>
          <w:iCs/>
          <w:color w:val="000000"/>
        </w:rPr>
        <w:t>XIV</w:t>
      </w:r>
      <w:r w:rsidR="00D05E09" w:rsidRPr="00D05E09">
        <w:rPr>
          <w:rFonts w:ascii="Verdana" w:hAnsi="Verdana" w:cs="CalistoMT-Italic"/>
          <w:i/>
          <w:iCs/>
          <w:color w:val="000000"/>
        </w:rPr>
        <w:t xml:space="preserve"> FC’s recommendation on increasing devolution from 32% to 42% is not as generous as it looks. It must be noted that unlike the previous commissions, the </w:t>
      </w:r>
      <w:r w:rsidR="003C3101">
        <w:rPr>
          <w:rFonts w:ascii="Verdana" w:hAnsi="Verdana" w:cs="CalistoMT-Italic"/>
          <w:i/>
          <w:iCs/>
          <w:color w:val="000000"/>
        </w:rPr>
        <w:t>XIV</w:t>
      </w:r>
      <w:r w:rsidR="00D05E09" w:rsidRPr="00D05E09">
        <w:rPr>
          <w:rFonts w:ascii="Verdana" w:hAnsi="Verdana" w:cs="CalistoMT-Italic"/>
          <w:i/>
          <w:iCs/>
          <w:color w:val="000000"/>
        </w:rPr>
        <w:t xml:space="preserve"> FC was asked to cover the requirements under both Plan and </w:t>
      </w:r>
      <w:r w:rsidR="00D05E09" w:rsidRPr="00D05E09">
        <w:rPr>
          <w:rFonts w:ascii="Verdana" w:hAnsi="Verdana" w:cs="CalistoMT-Italic"/>
          <w:i/>
          <w:iCs/>
          <w:color w:val="000000"/>
        </w:rPr>
        <w:lastRenderedPageBreak/>
        <w:t xml:space="preserve">Non-Plan accounts which required it to subsume </w:t>
      </w:r>
      <w:proofErr w:type="spellStart"/>
      <w:r w:rsidR="00D05E09" w:rsidRPr="00D05E09">
        <w:rPr>
          <w:rFonts w:ascii="Verdana" w:hAnsi="Verdana" w:cs="CalistoMT-Italic"/>
          <w:i/>
          <w:iCs/>
          <w:color w:val="000000"/>
        </w:rPr>
        <w:t>Gadgil</w:t>
      </w:r>
      <w:proofErr w:type="spellEnd"/>
      <w:r w:rsidR="00D05E09" w:rsidRPr="00D05E09">
        <w:rPr>
          <w:rFonts w:ascii="Verdana" w:hAnsi="Verdana" w:cs="CalistoMT-Italic"/>
          <w:i/>
          <w:iCs/>
          <w:color w:val="000000"/>
        </w:rPr>
        <w:t xml:space="preserve"> formula grants, amounting to 5.5% of the divisible pool in their recommendation. In addition, the </w:t>
      </w:r>
      <w:r w:rsidR="003C3101">
        <w:rPr>
          <w:rFonts w:ascii="Verdana" w:hAnsi="Verdana" w:cs="CalistoMT-Italic"/>
          <w:i/>
          <w:iCs/>
          <w:color w:val="000000"/>
        </w:rPr>
        <w:t>XIV</w:t>
      </w:r>
      <w:r w:rsidR="00D05E09" w:rsidRPr="00D05E09">
        <w:rPr>
          <w:rFonts w:ascii="Verdana" w:hAnsi="Verdana" w:cs="CalistoMT-Italic"/>
          <w:i/>
          <w:iCs/>
          <w:color w:val="000000"/>
        </w:rPr>
        <w:t xml:space="preserve"> FC avoided giving discretionary sectoral grants including environmental grants amounting to 1.5 % of the divisible pool. Thus, the legitimate comparison should be between 39% and 42%.’</w:t>
      </w:r>
      <w:r w:rsidR="00192189">
        <w:rPr>
          <w:rFonts w:ascii="Verdana" w:hAnsi="Verdana" w:cs="CalistoMT-Italic"/>
          <w:i/>
          <w:iCs/>
          <w:color w:val="000000"/>
        </w:rPr>
        <w:t xml:space="preserve"> </w:t>
      </w:r>
      <w:r w:rsidR="00192189">
        <w:rPr>
          <w:rFonts w:ascii="Verdana" w:hAnsi="Verdana" w:cs="CalistoMT-Italic"/>
          <w:iCs/>
          <w:color w:val="000000"/>
        </w:rPr>
        <w:t>(Rao,</w:t>
      </w:r>
      <w:r w:rsidR="00883219">
        <w:rPr>
          <w:rFonts w:ascii="Verdana" w:hAnsi="Verdana" w:cs="CalistoMT-Italic"/>
          <w:iCs/>
          <w:color w:val="000000"/>
        </w:rPr>
        <w:t xml:space="preserve"> Financ</w:t>
      </w:r>
      <w:r w:rsidR="004B4FD3">
        <w:rPr>
          <w:rFonts w:ascii="Verdana" w:hAnsi="Verdana" w:cs="CalistoMT-Italic"/>
          <w:iCs/>
          <w:color w:val="000000"/>
        </w:rPr>
        <w:t>ial</w:t>
      </w:r>
      <w:r w:rsidR="00883219">
        <w:rPr>
          <w:rFonts w:ascii="Verdana" w:hAnsi="Verdana" w:cs="CalistoMT-Italic"/>
          <w:iCs/>
          <w:color w:val="000000"/>
        </w:rPr>
        <w:t xml:space="preserve"> Express, December 5,</w:t>
      </w:r>
      <w:r w:rsidR="001148EE">
        <w:rPr>
          <w:rFonts w:ascii="Verdana" w:hAnsi="Verdana" w:cs="CalistoMT-Italic"/>
          <w:iCs/>
          <w:color w:val="000000"/>
        </w:rPr>
        <w:t xml:space="preserve"> 2017</w:t>
      </w:r>
      <w:r w:rsidR="00192189">
        <w:rPr>
          <w:rFonts w:ascii="Verdana" w:hAnsi="Verdana" w:cs="CalistoMT-Italic"/>
          <w:iCs/>
          <w:color w:val="000000"/>
        </w:rPr>
        <w:t>).</w:t>
      </w:r>
    </w:p>
    <w:p w:rsidR="003879B6" w:rsidRDefault="006D5E59" w:rsidP="006D5E59">
      <w:pPr>
        <w:pStyle w:val="NoSpacing"/>
        <w:spacing w:before="240" w:line="480" w:lineRule="auto"/>
        <w:jc w:val="both"/>
        <w:rPr>
          <w:rFonts w:ascii="Verdana" w:hAnsi="Verdana"/>
        </w:rPr>
      </w:pPr>
      <w:r>
        <w:rPr>
          <w:rFonts w:ascii="Verdana" w:hAnsi="Verdana"/>
        </w:rPr>
        <w:tab/>
      </w:r>
      <w:r w:rsidR="001A01A3">
        <w:rPr>
          <w:rFonts w:ascii="Verdana" w:hAnsi="Verdana"/>
        </w:rPr>
        <w:t>Further</w:t>
      </w:r>
      <w:r w:rsidR="00112C73">
        <w:rPr>
          <w:rFonts w:ascii="Verdana" w:hAnsi="Verdana"/>
        </w:rPr>
        <w:t>, there has been an increase in Cesses and surcharges during the recent years</w:t>
      </w:r>
      <w:r w:rsidR="00D73B3C">
        <w:rPr>
          <w:rFonts w:ascii="Verdana" w:hAnsi="Verdana"/>
        </w:rPr>
        <w:t xml:space="preserve"> despite the introduction of GST</w:t>
      </w:r>
      <w:r w:rsidR="00112C73">
        <w:rPr>
          <w:rFonts w:ascii="Verdana" w:hAnsi="Verdana"/>
        </w:rPr>
        <w:t xml:space="preserve">.  Since the Cesses and surcharges are not sharable, the States stand to lose the revenue that would have accrued to them if there were taxes.  </w:t>
      </w:r>
    </w:p>
    <w:p w:rsidR="003879B6" w:rsidRDefault="001A01A3" w:rsidP="003879B6">
      <w:pPr>
        <w:pStyle w:val="NoSpacing"/>
        <w:spacing w:before="240" w:line="480" w:lineRule="auto"/>
        <w:ind w:firstLine="720"/>
        <w:jc w:val="both"/>
        <w:rPr>
          <w:rFonts w:ascii="Verdana" w:hAnsi="Verdana"/>
        </w:rPr>
      </w:pPr>
      <w:r>
        <w:rPr>
          <w:rFonts w:ascii="Verdana" w:hAnsi="Verdana"/>
        </w:rPr>
        <w:t>Moreover</w:t>
      </w:r>
      <w:r w:rsidR="00755153">
        <w:rPr>
          <w:rFonts w:ascii="Verdana" w:hAnsi="Verdana"/>
        </w:rPr>
        <w:t>, the design of the Centrally Sponsored Schemes has been changed increasing the share of State Governme</w:t>
      </w:r>
      <w:r w:rsidR="00A07E6D">
        <w:rPr>
          <w:rFonts w:ascii="Verdana" w:hAnsi="Verdana"/>
        </w:rPr>
        <w:t>nt</w:t>
      </w:r>
      <w:r w:rsidR="00755153">
        <w:rPr>
          <w:rFonts w:ascii="Verdana" w:hAnsi="Verdana"/>
        </w:rPr>
        <w:t>s</w:t>
      </w:r>
      <w:r w:rsidR="00A07E6D">
        <w:rPr>
          <w:rFonts w:ascii="Verdana" w:hAnsi="Verdana"/>
        </w:rPr>
        <w:t>'</w:t>
      </w:r>
      <w:r w:rsidR="00755153">
        <w:rPr>
          <w:rFonts w:ascii="Verdana" w:hAnsi="Verdana"/>
        </w:rPr>
        <w:t xml:space="preserve"> contributions from an average of 50% to an average of 60%.  </w:t>
      </w:r>
      <w:r w:rsidR="001B1493">
        <w:rPr>
          <w:rFonts w:ascii="Verdana" w:hAnsi="Verdana"/>
        </w:rPr>
        <w:t xml:space="preserve">In a way, therefore, this has resulted in the </w:t>
      </w:r>
      <w:r w:rsidR="003879B6">
        <w:rPr>
          <w:rFonts w:ascii="Verdana" w:hAnsi="Verdana"/>
        </w:rPr>
        <w:t xml:space="preserve">erosion in the </w:t>
      </w:r>
      <w:r w:rsidR="001B1493">
        <w:rPr>
          <w:rFonts w:ascii="Verdana" w:hAnsi="Verdana"/>
        </w:rPr>
        <w:t xml:space="preserve">net benefit available to the State Governments as a result of enhanced devolution. </w:t>
      </w:r>
    </w:p>
    <w:p w:rsidR="00616F1A" w:rsidRDefault="001B1493" w:rsidP="003879B6">
      <w:pPr>
        <w:pStyle w:val="NoSpacing"/>
        <w:spacing w:before="240" w:line="480" w:lineRule="auto"/>
        <w:ind w:firstLine="720"/>
        <w:jc w:val="both"/>
        <w:rPr>
          <w:rFonts w:ascii="Verdana" w:hAnsi="Verdana"/>
        </w:rPr>
      </w:pPr>
      <w:r>
        <w:rPr>
          <w:rFonts w:ascii="Verdana" w:hAnsi="Verdana"/>
        </w:rPr>
        <w:t xml:space="preserve"> </w:t>
      </w:r>
      <w:r w:rsidR="00906C10">
        <w:rPr>
          <w:rFonts w:ascii="Verdana" w:hAnsi="Verdana"/>
        </w:rPr>
        <w:t xml:space="preserve">Under the circumstances, the simplest measure of the vertical balance is the share of aggregate transfers to States in the total gross revenue of the Union Government.  </w:t>
      </w:r>
      <w:r w:rsidR="00BE785C">
        <w:rPr>
          <w:rFonts w:ascii="Verdana" w:hAnsi="Verdana"/>
        </w:rPr>
        <w:t>The percentage share during four years, 2015-16 to 2018-19 ranged between 47.58 and 44.70</w:t>
      </w:r>
      <w:r w:rsidR="00741B05">
        <w:rPr>
          <w:rFonts w:ascii="Verdana" w:hAnsi="Verdana"/>
        </w:rPr>
        <w:t>,</w:t>
      </w:r>
      <w:r w:rsidR="00BE785C">
        <w:rPr>
          <w:rFonts w:ascii="Verdana" w:hAnsi="Verdana"/>
        </w:rPr>
        <w:t xml:space="preserve"> while during 2011-12 to 2014-15, it ranged between 53.70 and 46.00. </w:t>
      </w:r>
      <w:r w:rsidR="00D31CA4">
        <w:rPr>
          <w:rFonts w:ascii="Verdana" w:hAnsi="Verdana"/>
        </w:rPr>
        <w:t xml:space="preserve"> </w:t>
      </w:r>
      <w:r w:rsidR="00D31CA4" w:rsidRPr="00D31CA4">
        <w:rPr>
          <w:rFonts w:ascii="Verdana" w:hAnsi="Verdana"/>
        </w:rPr>
        <w:t xml:space="preserve">By this measure, </w:t>
      </w:r>
      <w:r w:rsidR="0022214F">
        <w:rPr>
          <w:rFonts w:ascii="Verdana" w:hAnsi="Verdana"/>
        </w:rPr>
        <w:t xml:space="preserve">there is decrease and not an increase in the share of States after the acceptance of recommendation of Fourteenth Finance Commission.  </w:t>
      </w:r>
    </w:p>
    <w:p w:rsidR="00C95015" w:rsidRDefault="00C95015" w:rsidP="003879B6">
      <w:pPr>
        <w:pStyle w:val="NoSpacing"/>
        <w:spacing w:before="240" w:line="480" w:lineRule="auto"/>
        <w:ind w:firstLine="720"/>
        <w:jc w:val="both"/>
        <w:rPr>
          <w:rFonts w:ascii="Verdana" w:hAnsi="Verdana"/>
        </w:rPr>
      </w:pPr>
    </w:p>
    <w:p w:rsidR="00C95015" w:rsidRDefault="00C95015" w:rsidP="003879B6">
      <w:pPr>
        <w:pStyle w:val="NoSpacing"/>
        <w:spacing w:before="240" w:line="480" w:lineRule="auto"/>
        <w:ind w:firstLine="720"/>
        <w:jc w:val="both"/>
        <w:rPr>
          <w:rFonts w:ascii="Verdana" w:hAnsi="Verdana"/>
        </w:rPr>
      </w:pPr>
    </w:p>
    <w:p w:rsidR="00592167" w:rsidRDefault="00592167" w:rsidP="003879B6">
      <w:pPr>
        <w:pStyle w:val="NoSpacing"/>
        <w:spacing w:before="240" w:line="480" w:lineRule="auto"/>
        <w:ind w:firstLine="720"/>
        <w:jc w:val="both"/>
        <w:rPr>
          <w:rFonts w:ascii="Verdana" w:hAnsi="Verdana"/>
        </w:rPr>
      </w:pPr>
    </w:p>
    <w:p w:rsidR="005D64F1" w:rsidRDefault="005D64F1" w:rsidP="003879B6">
      <w:pPr>
        <w:pStyle w:val="NoSpacing"/>
        <w:spacing w:before="240" w:line="480" w:lineRule="auto"/>
        <w:ind w:firstLine="720"/>
        <w:jc w:val="both"/>
        <w:rPr>
          <w:rFonts w:ascii="Verdana" w:hAnsi="Verdana"/>
        </w:rPr>
      </w:pPr>
    </w:p>
    <w:p w:rsidR="00F61D5E" w:rsidRDefault="00F61D5E" w:rsidP="00F61D5E">
      <w:pPr>
        <w:pStyle w:val="NoSpacing"/>
        <w:spacing w:before="240" w:line="480" w:lineRule="auto"/>
        <w:jc w:val="both"/>
        <w:rPr>
          <w:rFonts w:ascii="Verdana" w:hAnsi="Verdana"/>
          <w:sz w:val="20"/>
          <w:szCs w:val="20"/>
        </w:rPr>
      </w:pPr>
      <w:r w:rsidRPr="008130B1">
        <w:rPr>
          <w:rFonts w:ascii="Verdana" w:hAnsi="Verdana"/>
          <w:b/>
          <w:sz w:val="20"/>
          <w:szCs w:val="20"/>
        </w:rPr>
        <w:t xml:space="preserve">Table 1: Total Transfers </w:t>
      </w:r>
      <w:r w:rsidR="006C525D" w:rsidRPr="008130B1">
        <w:rPr>
          <w:rFonts w:ascii="Verdana" w:hAnsi="Verdana"/>
          <w:b/>
          <w:sz w:val="20"/>
          <w:szCs w:val="20"/>
        </w:rPr>
        <w:t>as percentage</w:t>
      </w:r>
      <w:r w:rsidRPr="008130B1">
        <w:rPr>
          <w:rFonts w:ascii="Verdana" w:hAnsi="Verdana"/>
          <w:b/>
          <w:sz w:val="20"/>
          <w:szCs w:val="20"/>
        </w:rPr>
        <w:t xml:space="preserve"> of Gross Revenue of the Union Government</w:t>
      </w:r>
      <w:r>
        <w:rPr>
          <w:rFonts w:ascii="Verdana" w:hAnsi="Verdana"/>
          <w:sz w:val="20"/>
          <w:szCs w:val="20"/>
        </w:rPr>
        <w:t xml:space="preserve"> </w:t>
      </w:r>
    </w:p>
    <w:p w:rsidR="009537BC" w:rsidRDefault="009537BC" w:rsidP="009537BC">
      <w:pPr>
        <w:pStyle w:val="NoSpacing"/>
        <w:spacing w:before="240" w:line="480" w:lineRule="auto"/>
        <w:jc w:val="both"/>
        <w:rPr>
          <w:lang w:val="en-IN"/>
        </w:rPr>
      </w:pPr>
      <w:r w:rsidRPr="00842DCC">
        <w:rPr>
          <w:b/>
          <w:lang w:val="en-IN"/>
        </w:rPr>
        <w:t>*</w:t>
      </w:r>
      <w:r w:rsidRPr="00842DCC">
        <w:rPr>
          <w:lang w:val="en-IN"/>
        </w:rPr>
        <w:t>Grants-in-Aid include those on account of recommendations of Finance Commission also.</w:t>
      </w:r>
      <w:r>
        <w:rPr>
          <w:lang w:val="en-IN"/>
        </w:rPr>
        <w:t xml:space="preserve">  </w:t>
      </w:r>
    </w:p>
    <w:p w:rsidR="00437315" w:rsidRDefault="00437315" w:rsidP="009537BC">
      <w:pPr>
        <w:pStyle w:val="NoSpacing"/>
        <w:spacing w:before="240" w:line="480" w:lineRule="auto"/>
        <w:jc w:val="both"/>
        <w:rPr>
          <w:lang w:val="en-IN"/>
        </w:rPr>
      </w:pPr>
    </w:p>
    <w:tbl>
      <w:tblPr>
        <w:tblStyle w:val="TableGrid"/>
        <w:tblpPr w:leftFromText="180" w:rightFromText="180" w:vertAnchor="page" w:horzAnchor="margin" w:tblpY="2143"/>
        <w:tblW w:w="0" w:type="auto"/>
        <w:tblLook w:val="04A0"/>
      </w:tblPr>
      <w:tblGrid>
        <w:gridCol w:w="2830"/>
        <w:gridCol w:w="770"/>
        <w:gridCol w:w="770"/>
        <w:gridCol w:w="830"/>
        <w:gridCol w:w="830"/>
        <w:gridCol w:w="830"/>
        <w:gridCol w:w="830"/>
        <w:gridCol w:w="830"/>
        <w:gridCol w:w="830"/>
      </w:tblGrid>
      <w:tr w:rsidR="00437315" w:rsidRPr="0063760C" w:rsidTr="00F6302E">
        <w:trPr>
          <w:trHeight w:val="300"/>
        </w:trPr>
        <w:tc>
          <w:tcPr>
            <w:tcW w:w="2830" w:type="dxa"/>
            <w:noWrap/>
            <w:hideMark/>
          </w:tcPr>
          <w:p w:rsidR="00437315" w:rsidRPr="00E776B4" w:rsidRDefault="00437315" w:rsidP="00F6302E"/>
        </w:tc>
        <w:tc>
          <w:tcPr>
            <w:tcW w:w="770" w:type="dxa"/>
            <w:noWrap/>
            <w:hideMark/>
          </w:tcPr>
          <w:p w:rsidR="00437315" w:rsidRPr="0063760C" w:rsidRDefault="00437315" w:rsidP="00F6302E">
            <w:pPr>
              <w:rPr>
                <w:sz w:val="16"/>
                <w:szCs w:val="16"/>
              </w:rPr>
            </w:pPr>
            <w:r w:rsidRPr="0063760C">
              <w:rPr>
                <w:sz w:val="16"/>
                <w:szCs w:val="16"/>
              </w:rPr>
              <w:t>2011-12</w:t>
            </w:r>
          </w:p>
        </w:tc>
        <w:tc>
          <w:tcPr>
            <w:tcW w:w="770" w:type="dxa"/>
            <w:noWrap/>
            <w:hideMark/>
          </w:tcPr>
          <w:p w:rsidR="00437315" w:rsidRPr="0063760C" w:rsidRDefault="00437315" w:rsidP="00F6302E">
            <w:pPr>
              <w:rPr>
                <w:sz w:val="16"/>
                <w:szCs w:val="16"/>
              </w:rPr>
            </w:pPr>
            <w:r w:rsidRPr="0063760C">
              <w:rPr>
                <w:sz w:val="16"/>
                <w:szCs w:val="16"/>
              </w:rPr>
              <w:t>2012-13</w:t>
            </w:r>
          </w:p>
        </w:tc>
        <w:tc>
          <w:tcPr>
            <w:tcW w:w="830" w:type="dxa"/>
            <w:noWrap/>
            <w:hideMark/>
          </w:tcPr>
          <w:p w:rsidR="00437315" w:rsidRPr="0063760C" w:rsidRDefault="00437315" w:rsidP="00F6302E">
            <w:pPr>
              <w:rPr>
                <w:sz w:val="16"/>
                <w:szCs w:val="16"/>
              </w:rPr>
            </w:pPr>
            <w:r w:rsidRPr="0063760C">
              <w:rPr>
                <w:sz w:val="16"/>
                <w:szCs w:val="16"/>
              </w:rPr>
              <w:t>2013-14</w:t>
            </w:r>
          </w:p>
        </w:tc>
        <w:tc>
          <w:tcPr>
            <w:tcW w:w="830" w:type="dxa"/>
            <w:noWrap/>
            <w:hideMark/>
          </w:tcPr>
          <w:p w:rsidR="00437315" w:rsidRPr="0063760C" w:rsidRDefault="00437315" w:rsidP="00F6302E">
            <w:pPr>
              <w:rPr>
                <w:sz w:val="16"/>
                <w:szCs w:val="16"/>
              </w:rPr>
            </w:pPr>
            <w:r w:rsidRPr="0063760C">
              <w:rPr>
                <w:sz w:val="16"/>
                <w:szCs w:val="16"/>
              </w:rPr>
              <w:t>2014-15</w:t>
            </w:r>
          </w:p>
        </w:tc>
        <w:tc>
          <w:tcPr>
            <w:tcW w:w="830" w:type="dxa"/>
            <w:noWrap/>
            <w:hideMark/>
          </w:tcPr>
          <w:p w:rsidR="00437315" w:rsidRPr="0063760C" w:rsidRDefault="00437315" w:rsidP="00F6302E">
            <w:pPr>
              <w:rPr>
                <w:sz w:val="16"/>
                <w:szCs w:val="16"/>
              </w:rPr>
            </w:pPr>
            <w:r w:rsidRPr="0063760C">
              <w:rPr>
                <w:sz w:val="16"/>
                <w:szCs w:val="16"/>
              </w:rPr>
              <w:t>2015-16</w:t>
            </w:r>
          </w:p>
        </w:tc>
        <w:tc>
          <w:tcPr>
            <w:tcW w:w="830" w:type="dxa"/>
            <w:noWrap/>
            <w:hideMark/>
          </w:tcPr>
          <w:p w:rsidR="00437315" w:rsidRPr="0063760C" w:rsidRDefault="00437315" w:rsidP="00F6302E">
            <w:pPr>
              <w:rPr>
                <w:sz w:val="16"/>
                <w:szCs w:val="16"/>
              </w:rPr>
            </w:pPr>
            <w:r w:rsidRPr="0063760C">
              <w:rPr>
                <w:sz w:val="16"/>
                <w:szCs w:val="16"/>
              </w:rPr>
              <w:t>2016-17</w:t>
            </w:r>
          </w:p>
        </w:tc>
        <w:tc>
          <w:tcPr>
            <w:tcW w:w="830" w:type="dxa"/>
            <w:noWrap/>
            <w:hideMark/>
          </w:tcPr>
          <w:p w:rsidR="00437315" w:rsidRPr="0063760C" w:rsidRDefault="00437315" w:rsidP="00F6302E">
            <w:pPr>
              <w:rPr>
                <w:sz w:val="16"/>
                <w:szCs w:val="16"/>
              </w:rPr>
            </w:pPr>
            <w:r w:rsidRPr="0063760C">
              <w:rPr>
                <w:sz w:val="16"/>
                <w:szCs w:val="16"/>
              </w:rPr>
              <w:t>2017-18 RE</w:t>
            </w:r>
          </w:p>
        </w:tc>
        <w:tc>
          <w:tcPr>
            <w:tcW w:w="830" w:type="dxa"/>
            <w:noWrap/>
            <w:hideMark/>
          </w:tcPr>
          <w:p w:rsidR="00437315" w:rsidRPr="0063760C" w:rsidRDefault="00437315" w:rsidP="00F6302E">
            <w:pPr>
              <w:rPr>
                <w:sz w:val="16"/>
                <w:szCs w:val="16"/>
              </w:rPr>
            </w:pPr>
            <w:r w:rsidRPr="0063760C">
              <w:rPr>
                <w:sz w:val="16"/>
                <w:szCs w:val="16"/>
              </w:rPr>
              <w:t>2018-19 BE</w:t>
            </w:r>
          </w:p>
        </w:tc>
      </w:tr>
      <w:tr w:rsidR="00437315" w:rsidRPr="0063760C" w:rsidTr="00F6302E">
        <w:trPr>
          <w:trHeight w:val="300"/>
        </w:trPr>
        <w:tc>
          <w:tcPr>
            <w:tcW w:w="2830" w:type="dxa"/>
            <w:noWrap/>
            <w:hideMark/>
          </w:tcPr>
          <w:p w:rsidR="00437315" w:rsidRPr="00E776B4" w:rsidRDefault="00437315" w:rsidP="00F6302E"/>
        </w:tc>
        <w:tc>
          <w:tcPr>
            <w:tcW w:w="770" w:type="dxa"/>
            <w:noWrap/>
            <w:hideMark/>
          </w:tcPr>
          <w:p w:rsidR="00437315" w:rsidRPr="0063760C" w:rsidRDefault="00437315" w:rsidP="00F6302E">
            <w:pPr>
              <w:rPr>
                <w:sz w:val="16"/>
                <w:szCs w:val="16"/>
              </w:rPr>
            </w:pPr>
            <w:r w:rsidRPr="0063760C">
              <w:rPr>
                <w:sz w:val="16"/>
                <w:szCs w:val="16"/>
              </w:rPr>
              <w:t>2011-12</w:t>
            </w:r>
          </w:p>
        </w:tc>
        <w:tc>
          <w:tcPr>
            <w:tcW w:w="770" w:type="dxa"/>
            <w:noWrap/>
            <w:hideMark/>
          </w:tcPr>
          <w:p w:rsidR="00437315" w:rsidRPr="0063760C" w:rsidRDefault="00437315" w:rsidP="00F6302E">
            <w:pPr>
              <w:rPr>
                <w:sz w:val="16"/>
                <w:szCs w:val="16"/>
              </w:rPr>
            </w:pPr>
            <w:r w:rsidRPr="0063760C">
              <w:rPr>
                <w:sz w:val="16"/>
                <w:szCs w:val="16"/>
              </w:rPr>
              <w:t>2012-13</w:t>
            </w:r>
          </w:p>
        </w:tc>
        <w:tc>
          <w:tcPr>
            <w:tcW w:w="830" w:type="dxa"/>
            <w:noWrap/>
            <w:hideMark/>
          </w:tcPr>
          <w:p w:rsidR="00437315" w:rsidRPr="0063760C" w:rsidRDefault="00437315" w:rsidP="00F6302E">
            <w:pPr>
              <w:rPr>
                <w:sz w:val="16"/>
                <w:szCs w:val="16"/>
              </w:rPr>
            </w:pPr>
            <w:r w:rsidRPr="0063760C">
              <w:rPr>
                <w:sz w:val="16"/>
                <w:szCs w:val="16"/>
              </w:rPr>
              <w:t>2013-14</w:t>
            </w:r>
          </w:p>
        </w:tc>
        <w:tc>
          <w:tcPr>
            <w:tcW w:w="830" w:type="dxa"/>
            <w:noWrap/>
            <w:hideMark/>
          </w:tcPr>
          <w:p w:rsidR="00437315" w:rsidRPr="0063760C" w:rsidRDefault="00437315" w:rsidP="00F6302E">
            <w:pPr>
              <w:rPr>
                <w:sz w:val="16"/>
                <w:szCs w:val="16"/>
              </w:rPr>
            </w:pPr>
            <w:r w:rsidRPr="0063760C">
              <w:rPr>
                <w:sz w:val="16"/>
                <w:szCs w:val="16"/>
              </w:rPr>
              <w:t>2014-15</w:t>
            </w:r>
          </w:p>
        </w:tc>
        <w:tc>
          <w:tcPr>
            <w:tcW w:w="830" w:type="dxa"/>
            <w:noWrap/>
            <w:hideMark/>
          </w:tcPr>
          <w:p w:rsidR="00437315" w:rsidRPr="0063760C" w:rsidRDefault="00437315" w:rsidP="00F6302E">
            <w:pPr>
              <w:rPr>
                <w:sz w:val="16"/>
                <w:szCs w:val="16"/>
              </w:rPr>
            </w:pPr>
            <w:r w:rsidRPr="0063760C">
              <w:rPr>
                <w:sz w:val="16"/>
                <w:szCs w:val="16"/>
              </w:rPr>
              <w:t>2015-16</w:t>
            </w:r>
          </w:p>
        </w:tc>
        <w:tc>
          <w:tcPr>
            <w:tcW w:w="830" w:type="dxa"/>
            <w:noWrap/>
            <w:hideMark/>
          </w:tcPr>
          <w:p w:rsidR="00437315" w:rsidRPr="0063760C" w:rsidRDefault="00437315" w:rsidP="00F6302E">
            <w:pPr>
              <w:rPr>
                <w:sz w:val="16"/>
                <w:szCs w:val="16"/>
              </w:rPr>
            </w:pPr>
            <w:r w:rsidRPr="0063760C">
              <w:rPr>
                <w:sz w:val="16"/>
                <w:szCs w:val="16"/>
              </w:rPr>
              <w:t>2016-17</w:t>
            </w:r>
          </w:p>
        </w:tc>
        <w:tc>
          <w:tcPr>
            <w:tcW w:w="830" w:type="dxa"/>
            <w:noWrap/>
            <w:hideMark/>
          </w:tcPr>
          <w:p w:rsidR="00437315" w:rsidRPr="0063760C" w:rsidRDefault="00437315" w:rsidP="00F6302E">
            <w:pPr>
              <w:rPr>
                <w:sz w:val="16"/>
                <w:szCs w:val="16"/>
              </w:rPr>
            </w:pPr>
            <w:r w:rsidRPr="0063760C">
              <w:rPr>
                <w:sz w:val="16"/>
                <w:szCs w:val="16"/>
              </w:rPr>
              <w:t>2017-18 RE</w:t>
            </w:r>
          </w:p>
        </w:tc>
        <w:tc>
          <w:tcPr>
            <w:tcW w:w="830" w:type="dxa"/>
            <w:noWrap/>
            <w:hideMark/>
          </w:tcPr>
          <w:p w:rsidR="00437315" w:rsidRPr="0063760C" w:rsidRDefault="00437315" w:rsidP="00F6302E">
            <w:pPr>
              <w:rPr>
                <w:sz w:val="16"/>
                <w:szCs w:val="16"/>
              </w:rPr>
            </w:pPr>
            <w:r w:rsidRPr="0063760C">
              <w:rPr>
                <w:sz w:val="16"/>
                <w:szCs w:val="16"/>
              </w:rPr>
              <w:t>2018-19 BE</w:t>
            </w:r>
          </w:p>
        </w:tc>
      </w:tr>
    </w:tbl>
    <w:p w:rsidR="008130B1" w:rsidRDefault="008130B1" w:rsidP="008130B1">
      <w:pPr>
        <w:pStyle w:val="NoSpacing"/>
        <w:spacing w:before="240" w:line="480" w:lineRule="auto"/>
        <w:jc w:val="both"/>
        <w:rPr>
          <w:rFonts w:ascii="Verdana" w:hAnsi="Verdana"/>
          <w:sz w:val="20"/>
          <w:szCs w:val="20"/>
        </w:rPr>
      </w:pPr>
    </w:p>
    <w:tbl>
      <w:tblPr>
        <w:tblStyle w:val="TableGrid"/>
        <w:tblpPr w:leftFromText="180" w:rightFromText="180" w:vertAnchor="page" w:horzAnchor="margin" w:tblpY="2143"/>
        <w:tblW w:w="0" w:type="auto"/>
        <w:tblLook w:val="04A0"/>
      </w:tblPr>
      <w:tblGrid>
        <w:gridCol w:w="2830"/>
        <w:gridCol w:w="770"/>
        <w:gridCol w:w="770"/>
        <w:gridCol w:w="830"/>
        <w:gridCol w:w="830"/>
        <w:gridCol w:w="830"/>
        <w:gridCol w:w="830"/>
        <w:gridCol w:w="830"/>
        <w:gridCol w:w="830"/>
      </w:tblGrid>
      <w:tr w:rsidR="009537BC" w:rsidRPr="00E776B4" w:rsidTr="003457AB">
        <w:trPr>
          <w:trHeight w:val="300"/>
        </w:trPr>
        <w:tc>
          <w:tcPr>
            <w:tcW w:w="9350" w:type="dxa"/>
            <w:gridSpan w:val="9"/>
            <w:noWrap/>
            <w:hideMark/>
          </w:tcPr>
          <w:p w:rsidR="00AA14EF" w:rsidRDefault="00AA14EF" w:rsidP="009537BC">
            <w:pPr>
              <w:jc w:val="center"/>
              <w:rPr>
                <w:b/>
                <w:bCs/>
              </w:rPr>
            </w:pPr>
          </w:p>
          <w:p w:rsidR="00AA14EF" w:rsidRDefault="00AA14EF" w:rsidP="009537BC">
            <w:pPr>
              <w:jc w:val="center"/>
            </w:pPr>
          </w:p>
          <w:p w:rsidR="00DA20D7" w:rsidRPr="00E776B4" w:rsidRDefault="00DA20D7" w:rsidP="009537BC">
            <w:pPr>
              <w:jc w:val="center"/>
            </w:pPr>
          </w:p>
        </w:tc>
      </w:tr>
      <w:tr w:rsidR="009537BC" w:rsidRPr="00E776B4" w:rsidTr="003457AB">
        <w:trPr>
          <w:trHeight w:val="300"/>
        </w:trPr>
        <w:tc>
          <w:tcPr>
            <w:tcW w:w="2830" w:type="dxa"/>
            <w:noWrap/>
            <w:hideMark/>
          </w:tcPr>
          <w:p w:rsidR="009537BC" w:rsidRPr="00E776B4" w:rsidRDefault="009537BC" w:rsidP="009537BC">
            <w:r w:rsidRPr="00E776B4">
              <w:t>Devolution</w:t>
            </w:r>
          </w:p>
        </w:tc>
        <w:tc>
          <w:tcPr>
            <w:tcW w:w="770" w:type="dxa"/>
            <w:noWrap/>
            <w:hideMark/>
          </w:tcPr>
          <w:p w:rsidR="009537BC" w:rsidRPr="00E776B4" w:rsidRDefault="009537BC" w:rsidP="009537BC">
            <w:r w:rsidRPr="00E776B4">
              <w:t>20.26</w:t>
            </w:r>
          </w:p>
        </w:tc>
        <w:tc>
          <w:tcPr>
            <w:tcW w:w="770" w:type="dxa"/>
            <w:noWrap/>
            <w:hideMark/>
          </w:tcPr>
          <w:p w:rsidR="009537BC" w:rsidRPr="00E776B4" w:rsidRDefault="009537BC" w:rsidP="009537BC">
            <w:r w:rsidRPr="00E776B4">
              <w:t>24.84</w:t>
            </w:r>
          </w:p>
        </w:tc>
        <w:tc>
          <w:tcPr>
            <w:tcW w:w="830" w:type="dxa"/>
            <w:noWrap/>
            <w:hideMark/>
          </w:tcPr>
          <w:p w:rsidR="009537BC" w:rsidRPr="00E776B4" w:rsidRDefault="009537BC" w:rsidP="009537BC">
            <w:r w:rsidRPr="00E776B4">
              <w:t>19.23</w:t>
            </w:r>
          </w:p>
        </w:tc>
        <w:tc>
          <w:tcPr>
            <w:tcW w:w="830" w:type="dxa"/>
            <w:noWrap/>
            <w:hideMark/>
          </w:tcPr>
          <w:p w:rsidR="009537BC" w:rsidRPr="00E776B4" w:rsidRDefault="009537BC" w:rsidP="009537BC">
            <w:r w:rsidRPr="00E776B4">
              <w:t>23.41</w:t>
            </w:r>
          </w:p>
        </w:tc>
        <w:tc>
          <w:tcPr>
            <w:tcW w:w="830" w:type="dxa"/>
            <w:noWrap/>
            <w:hideMark/>
          </w:tcPr>
          <w:p w:rsidR="009537BC" w:rsidRPr="00E776B4" w:rsidRDefault="009537BC" w:rsidP="009537BC">
            <w:r w:rsidRPr="00E776B4">
              <w:t>29.65</w:t>
            </w:r>
          </w:p>
        </w:tc>
        <w:tc>
          <w:tcPr>
            <w:tcW w:w="830" w:type="dxa"/>
            <w:noWrap/>
            <w:hideMark/>
          </w:tcPr>
          <w:p w:rsidR="009537BC" w:rsidRPr="00E776B4" w:rsidRDefault="009537BC" w:rsidP="009537BC">
            <w:r w:rsidRPr="00E776B4">
              <w:t>30.57</w:t>
            </w:r>
          </w:p>
        </w:tc>
        <w:tc>
          <w:tcPr>
            <w:tcW w:w="830" w:type="dxa"/>
            <w:noWrap/>
            <w:hideMark/>
          </w:tcPr>
          <w:p w:rsidR="009537BC" w:rsidRPr="00E776B4" w:rsidRDefault="009537BC" w:rsidP="009537BC">
            <w:r w:rsidRPr="00E776B4">
              <w:t>30.84</w:t>
            </w:r>
          </w:p>
        </w:tc>
        <w:tc>
          <w:tcPr>
            <w:tcW w:w="830" w:type="dxa"/>
            <w:noWrap/>
            <w:hideMark/>
          </w:tcPr>
          <w:p w:rsidR="009537BC" w:rsidRPr="00E776B4" w:rsidRDefault="009537BC" w:rsidP="009537BC">
            <w:r w:rsidRPr="00E776B4">
              <w:t>31.32</w:t>
            </w:r>
          </w:p>
        </w:tc>
      </w:tr>
      <w:tr w:rsidR="009537BC" w:rsidRPr="00E776B4" w:rsidTr="003457AB">
        <w:trPr>
          <w:trHeight w:val="300"/>
        </w:trPr>
        <w:tc>
          <w:tcPr>
            <w:tcW w:w="2830" w:type="dxa"/>
            <w:noWrap/>
            <w:hideMark/>
          </w:tcPr>
          <w:p w:rsidR="009537BC" w:rsidRPr="00E776B4" w:rsidRDefault="009537BC" w:rsidP="009537BC">
            <w:r w:rsidRPr="00E776B4">
              <w:t>Grant-in-aid to State Governments</w:t>
            </w:r>
            <w:r>
              <w:t>*</w:t>
            </w:r>
          </w:p>
        </w:tc>
        <w:tc>
          <w:tcPr>
            <w:tcW w:w="770" w:type="dxa"/>
            <w:noWrap/>
            <w:hideMark/>
          </w:tcPr>
          <w:p w:rsidR="009537BC" w:rsidRPr="00E776B4" w:rsidRDefault="009537BC" w:rsidP="009537BC">
            <w:r w:rsidRPr="00E776B4">
              <w:t>33.44</w:t>
            </w:r>
          </w:p>
        </w:tc>
        <w:tc>
          <w:tcPr>
            <w:tcW w:w="770" w:type="dxa"/>
            <w:noWrap/>
            <w:hideMark/>
          </w:tcPr>
          <w:p w:rsidR="009537BC" w:rsidRPr="00E776B4" w:rsidRDefault="009537BC" w:rsidP="009537BC">
            <w:r w:rsidRPr="00E776B4">
              <w:t>24.16</w:t>
            </w:r>
          </w:p>
        </w:tc>
        <w:tc>
          <w:tcPr>
            <w:tcW w:w="830" w:type="dxa"/>
            <w:noWrap/>
            <w:hideMark/>
          </w:tcPr>
          <w:p w:rsidR="009537BC" w:rsidRPr="00E776B4" w:rsidRDefault="009537BC" w:rsidP="009537BC">
            <w:r w:rsidRPr="00E776B4">
              <w:t>26.77</w:t>
            </w:r>
          </w:p>
        </w:tc>
        <w:tc>
          <w:tcPr>
            <w:tcW w:w="830" w:type="dxa"/>
            <w:noWrap/>
            <w:hideMark/>
          </w:tcPr>
          <w:p w:rsidR="009537BC" w:rsidRPr="00E776B4" w:rsidRDefault="009537BC" w:rsidP="009537BC">
            <w:r w:rsidRPr="00E776B4">
              <w:t>22.76</w:t>
            </w:r>
          </w:p>
        </w:tc>
        <w:tc>
          <w:tcPr>
            <w:tcW w:w="830" w:type="dxa"/>
            <w:noWrap/>
            <w:hideMark/>
          </w:tcPr>
          <w:p w:rsidR="009537BC" w:rsidRPr="00E776B4" w:rsidRDefault="009537BC" w:rsidP="009537BC">
            <w:r w:rsidRPr="00E776B4">
              <w:t>17.93</w:t>
            </w:r>
          </w:p>
        </w:tc>
        <w:tc>
          <w:tcPr>
            <w:tcW w:w="830" w:type="dxa"/>
            <w:noWrap/>
            <w:hideMark/>
          </w:tcPr>
          <w:p w:rsidR="009537BC" w:rsidRPr="00E776B4" w:rsidRDefault="009537BC" w:rsidP="009537BC">
            <w:r w:rsidRPr="00E776B4">
              <w:t>14.12</w:t>
            </w:r>
          </w:p>
        </w:tc>
        <w:tc>
          <w:tcPr>
            <w:tcW w:w="830" w:type="dxa"/>
            <w:noWrap/>
            <w:hideMark/>
          </w:tcPr>
          <w:p w:rsidR="009537BC" w:rsidRPr="00E776B4" w:rsidRDefault="009537BC" w:rsidP="009537BC">
            <w:r w:rsidRPr="00E776B4">
              <w:t>16.67</w:t>
            </w:r>
          </w:p>
        </w:tc>
        <w:tc>
          <w:tcPr>
            <w:tcW w:w="830" w:type="dxa"/>
            <w:noWrap/>
            <w:hideMark/>
          </w:tcPr>
          <w:p w:rsidR="009537BC" w:rsidRPr="00E776B4" w:rsidRDefault="009537BC" w:rsidP="009537BC">
            <w:r w:rsidRPr="00E776B4">
              <w:t>16.46</w:t>
            </w:r>
          </w:p>
        </w:tc>
      </w:tr>
      <w:tr w:rsidR="009537BC" w:rsidRPr="00E776B4" w:rsidTr="003457AB">
        <w:trPr>
          <w:trHeight w:val="300"/>
        </w:trPr>
        <w:tc>
          <w:tcPr>
            <w:tcW w:w="2830" w:type="dxa"/>
            <w:noWrap/>
            <w:hideMark/>
          </w:tcPr>
          <w:p w:rsidR="009537BC" w:rsidRPr="00E776B4" w:rsidRDefault="009537BC" w:rsidP="009537BC">
            <w:r w:rsidRPr="00E776B4">
              <w:t>Total</w:t>
            </w:r>
          </w:p>
        </w:tc>
        <w:tc>
          <w:tcPr>
            <w:tcW w:w="770" w:type="dxa"/>
            <w:noWrap/>
            <w:hideMark/>
          </w:tcPr>
          <w:p w:rsidR="009537BC" w:rsidRPr="00E776B4" w:rsidRDefault="009537BC" w:rsidP="009537BC">
            <w:r w:rsidRPr="00E776B4">
              <w:t>53.70</w:t>
            </w:r>
          </w:p>
        </w:tc>
        <w:tc>
          <w:tcPr>
            <w:tcW w:w="770" w:type="dxa"/>
            <w:noWrap/>
            <w:hideMark/>
          </w:tcPr>
          <w:p w:rsidR="009537BC" w:rsidRPr="00E776B4" w:rsidRDefault="009537BC" w:rsidP="009537BC">
            <w:r w:rsidRPr="00E776B4">
              <w:t>49.00</w:t>
            </w:r>
          </w:p>
        </w:tc>
        <w:tc>
          <w:tcPr>
            <w:tcW w:w="830" w:type="dxa"/>
            <w:noWrap/>
            <w:hideMark/>
          </w:tcPr>
          <w:p w:rsidR="009537BC" w:rsidRPr="00E776B4" w:rsidRDefault="009537BC" w:rsidP="009537BC">
            <w:r w:rsidRPr="00E776B4">
              <w:t>46.00</w:t>
            </w:r>
          </w:p>
        </w:tc>
        <w:tc>
          <w:tcPr>
            <w:tcW w:w="830" w:type="dxa"/>
            <w:noWrap/>
            <w:hideMark/>
          </w:tcPr>
          <w:p w:rsidR="009537BC" w:rsidRPr="00E776B4" w:rsidRDefault="009537BC" w:rsidP="009537BC">
            <w:r w:rsidRPr="00E776B4">
              <w:t>46.17</w:t>
            </w:r>
          </w:p>
        </w:tc>
        <w:tc>
          <w:tcPr>
            <w:tcW w:w="830" w:type="dxa"/>
            <w:noWrap/>
            <w:hideMark/>
          </w:tcPr>
          <w:p w:rsidR="009537BC" w:rsidRPr="00E776B4" w:rsidRDefault="009537BC" w:rsidP="009537BC">
            <w:r w:rsidRPr="00E776B4">
              <w:t>47.58</w:t>
            </w:r>
          </w:p>
        </w:tc>
        <w:tc>
          <w:tcPr>
            <w:tcW w:w="830" w:type="dxa"/>
            <w:noWrap/>
            <w:hideMark/>
          </w:tcPr>
          <w:p w:rsidR="009537BC" w:rsidRPr="00E776B4" w:rsidRDefault="009537BC" w:rsidP="009537BC">
            <w:r w:rsidRPr="00E776B4">
              <w:t>44.70</w:t>
            </w:r>
          </w:p>
        </w:tc>
        <w:tc>
          <w:tcPr>
            <w:tcW w:w="830" w:type="dxa"/>
            <w:noWrap/>
            <w:hideMark/>
          </w:tcPr>
          <w:p w:rsidR="009537BC" w:rsidRPr="00E776B4" w:rsidRDefault="009537BC" w:rsidP="009537BC">
            <w:r w:rsidRPr="00E776B4">
              <w:t>47.51</w:t>
            </w:r>
          </w:p>
        </w:tc>
        <w:tc>
          <w:tcPr>
            <w:tcW w:w="830" w:type="dxa"/>
            <w:noWrap/>
            <w:hideMark/>
          </w:tcPr>
          <w:p w:rsidR="009537BC" w:rsidRPr="00E776B4" w:rsidRDefault="009537BC" w:rsidP="009537BC">
            <w:r w:rsidRPr="00E776B4">
              <w:t>47.78</w:t>
            </w:r>
          </w:p>
        </w:tc>
      </w:tr>
    </w:tbl>
    <w:p w:rsidR="002164F0" w:rsidRDefault="002164F0" w:rsidP="00153849">
      <w:pPr>
        <w:pStyle w:val="NoSpacing"/>
        <w:spacing w:before="240" w:line="480" w:lineRule="auto"/>
        <w:ind w:firstLine="720"/>
        <w:jc w:val="both"/>
        <w:rPr>
          <w:rFonts w:ascii="Verdana" w:hAnsi="Verdana"/>
        </w:rPr>
      </w:pPr>
      <w:r w:rsidRPr="002164F0">
        <w:rPr>
          <w:rFonts w:ascii="Verdana" w:hAnsi="Verdana"/>
        </w:rPr>
        <w:t xml:space="preserve">As regards the horizontal balance, </w:t>
      </w:r>
      <w:r w:rsidR="00C6418F">
        <w:rPr>
          <w:rFonts w:ascii="Verdana" w:hAnsi="Verdana"/>
        </w:rPr>
        <w:t>there are severe problems of data availability.  Hence, conjectures are attempted.  T</w:t>
      </w:r>
      <w:r w:rsidRPr="002164F0">
        <w:rPr>
          <w:rFonts w:ascii="Verdana" w:hAnsi="Verdana"/>
        </w:rPr>
        <w:t>he increas</w:t>
      </w:r>
      <w:r w:rsidR="00815F52">
        <w:rPr>
          <w:rFonts w:ascii="Verdana" w:hAnsi="Verdana"/>
        </w:rPr>
        <w:t>ed share of tax devolution means</w:t>
      </w:r>
      <w:r w:rsidRPr="002164F0">
        <w:rPr>
          <w:rFonts w:ascii="Verdana" w:hAnsi="Verdana"/>
        </w:rPr>
        <w:t xml:space="preserve"> greater share of formula based transfers.  </w:t>
      </w:r>
      <w:r w:rsidR="006671CE">
        <w:rPr>
          <w:rFonts w:ascii="Verdana" w:hAnsi="Verdana"/>
        </w:rPr>
        <w:t>But</w:t>
      </w:r>
      <w:r w:rsidRPr="002164F0">
        <w:rPr>
          <w:rFonts w:ascii="Verdana" w:hAnsi="Verdana"/>
        </w:rPr>
        <w:t xml:space="preserve">, the Union Government increased the mandatory share of State Governments in respect of Centrally Sponsored Schemes.  This measure could mean that poorer States will have difficulty in putting up counterpart funds resulting in non-utilisation.  The change in funding pattern of CSS </w:t>
      </w:r>
      <w:r w:rsidR="00F04E5C">
        <w:rPr>
          <w:rFonts w:ascii="Verdana" w:hAnsi="Verdana"/>
        </w:rPr>
        <w:t xml:space="preserve">might have </w:t>
      </w:r>
      <w:r w:rsidRPr="002164F0">
        <w:rPr>
          <w:rFonts w:ascii="Verdana" w:hAnsi="Verdana"/>
        </w:rPr>
        <w:t>introduce</w:t>
      </w:r>
      <w:r w:rsidR="00F04E5C">
        <w:rPr>
          <w:rFonts w:ascii="Verdana" w:hAnsi="Verdana"/>
        </w:rPr>
        <w:t>d</w:t>
      </w:r>
      <w:r w:rsidRPr="002164F0">
        <w:rPr>
          <w:rFonts w:ascii="Verdana" w:hAnsi="Verdana"/>
        </w:rPr>
        <w:t xml:space="preserve"> regressive consequences.</w:t>
      </w:r>
      <w:r>
        <w:rPr>
          <w:rFonts w:ascii="Verdana" w:hAnsi="Verdana"/>
        </w:rPr>
        <w:t xml:space="preserve">  </w:t>
      </w:r>
      <w:r w:rsidR="001450AD">
        <w:rPr>
          <w:rFonts w:ascii="Verdana" w:hAnsi="Verdana"/>
        </w:rPr>
        <w:t xml:space="preserve">In brief, the benefit of higher share that poorer States could get due to enhanced devolution </w:t>
      </w:r>
      <w:r w:rsidR="003C06F3">
        <w:rPr>
          <w:rFonts w:ascii="Verdana" w:hAnsi="Verdana"/>
        </w:rPr>
        <w:t>has</w:t>
      </w:r>
      <w:r w:rsidR="001450AD">
        <w:rPr>
          <w:rFonts w:ascii="Verdana" w:hAnsi="Verdana"/>
        </w:rPr>
        <w:t xml:space="preserve"> been </w:t>
      </w:r>
      <w:r w:rsidR="007A5FCF">
        <w:rPr>
          <w:rFonts w:ascii="Verdana" w:hAnsi="Verdana"/>
        </w:rPr>
        <w:t>diluted</w:t>
      </w:r>
      <w:r w:rsidR="001450AD">
        <w:rPr>
          <w:rFonts w:ascii="Verdana" w:hAnsi="Verdana"/>
        </w:rPr>
        <w:t xml:space="preserve"> by the actions of Union Government on non Finance Commission transfers.  </w:t>
      </w:r>
    </w:p>
    <w:p w:rsidR="00926B48" w:rsidRDefault="00926B48" w:rsidP="00153849">
      <w:pPr>
        <w:pStyle w:val="NoSpacing"/>
        <w:spacing w:before="240" w:line="480" w:lineRule="auto"/>
        <w:ind w:firstLine="720"/>
        <w:jc w:val="both"/>
        <w:rPr>
          <w:rFonts w:ascii="Verdana" w:hAnsi="Verdana"/>
        </w:rPr>
      </w:pPr>
    </w:p>
    <w:p w:rsidR="00FF7F41" w:rsidRDefault="00344B83" w:rsidP="00472F54">
      <w:pPr>
        <w:spacing w:before="240" w:line="480" w:lineRule="auto"/>
        <w:jc w:val="both"/>
        <w:rPr>
          <w:rFonts w:ascii="Verdana" w:eastAsia="Times New Roman" w:hAnsi="Verdana" w:cs="Times New Roman"/>
          <w:bCs/>
          <w:color w:val="000000"/>
          <w:lang w:val="en-US"/>
        </w:rPr>
      </w:pPr>
      <w:r w:rsidRPr="00FF3227">
        <w:rPr>
          <w:rFonts w:ascii="Verdana" w:eastAsia="Times New Roman" w:hAnsi="Verdana" w:cs="Times New Roman"/>
          <w:b/>
          <w:bCs/>
          <w:color w:val="000000"/>
          <w:u w:val="single"/>
          <w:lang w:val="en-US"/>
        </w:rPr>
        <w:lastRenderedPageBreak/>
        <w:t>C</w:t>
      </w:r>
      <w:r w:rsidR="00FF7F41" w:rsidRPr="00FF3227">
        <w:rPr>
          <w:rFonts w:ascii="Verdana" w:eastAsia="Times New Roman" w:hAnsi="Verdana" w:cs="Times New Roman"/>
          <w:b/>
          <w:bCs/>
          <w:color w:val="000000"/>
          <w:u w:val="single"/>
          <w:lang w:val="en-US"/>
        </w:rPr>
        <w:t xml:space="preserve">hanges in the </w:t>
      </w:r>
      <w:r w:rsidRPr="00FF3227">
        <w:rPr>
          <w:rFonts w:ascii="Verdana" w:eastAsia="Times New Roman" w:hAnsi="Verdana" w:cs="Times New Roman"/>
          <w:b/>
          <w:bCs/>
          <w:color w:val="000000"/>
          <w:u w:val="single"/>
          <w:lang w:val="en-US"/>
        </w:rPr>
        <w:t>fiscal responsibility framework</w:t>
      </w:r>
      <w:r w:rsidR="00176CA5">
        <w:rPr>
          <w:rFonts w:ascii="Verdana" w:eastAsia="Times New Roman" w:hAnsi="Verdana" w:cs="Times New Roman"/>
          <w:bCs/>
          <w:color w:val="000000"/>
          <w:lang w:val="en-US"/>
        </w:rPr>
        <w:t xml:space="preserve"> </w:t>
      </w:r>
    </w:p>
    <w:p w:rsidR="00176CA5" w:rsidRDefault="00176CA5" w:rsidP="009F63DF">
      <w:pPr>
        <w:spacing w:before="240" w:after="0" w:line="480" w:lineRule="auto"/>
        <w:jc w:val="both"/>
        <w:textAlignment w:val="baseline"/>
        <w:rPr>
          <w:rFonts w:ascii="Verdana" w:eastAsia="Times New Roman" w:hAnsi="Verdana" w:cs="Times New Roman"/>
          <w:bCs/>
          <w:color w:val="000000"/>
          <w:lang w:val="en-US"/>
        </w:rPr>
      </w:pPr>
      <w:r>
        <w:rPr>
          <w:rFonts w:ascii="Verdana" w:eastAsia="Times New Roman" w:hAnsi="Verdana" w:cs="Times New Roman"/>
          <w:bCs/>
          <w:color w:val="000000"/>
          <w:lang w:val="en-US"/>
        </w:rPr>
        <w:tab/>
      </w:r>
      <w:r w:rsidR="00926B48">
        <w:rPr>
          <w:rFonts w:ascii="Verdana" w:eastAsia="Times New Roman" w:hAnsi="Verdana" w:cs="Times New Roman"/>
          <w:bCs/>
          <w:color w:val="000000"/>
          <w:lang w:val="en-US"/>
        </w:rPr>
        <w:t xml:space="preserve">The </w:t>
      </w:r>
      <w:r>
        <w:rPr>
          <w:rFonts w:ascii="Verdana" w:eastAsia="Times New Roman" w:hAnsi="Verdana" w:cs="Times New Roman"/>
          <w:bCs/>
          <w:color w:val="000000"/>
          <w:lang w:val="en-US"/>
        </w:rPr>
        <w:t>Union Finance Minister in his budget speech</w:t>
      </w:r>
      <w:r w:rsidR="00F75917">
        <w:rPr>
          <w:rFonts w:ascii="Verdana" w:eastAsia="Times New Roman" w:hAnsi="Verdana" w:cs="Times New Roman"/>
          <w:bCs/>
          <w:color w:val="000000"/>
          <w:lang w:val="en-US"/>
        </w:rPr>
        <w:t xml:space="preserve"> 2017-18 </w:t>
      </w:r>
      <w:r>
        <w:rPr>
          <w:rFonts w:ascii="Verdana" w:eastAsia="Times New Roman" w:hAnsi="Verdana" w:cs="Times New Roman"/>
          <w:bCs/>
          <w:color w:val="000000"/>
          <w:lang w:val="en-US"/>
        </w:rPr>
        <w:t xml:space="preserve">mentioned the recommendations of the FRBM Review Committee and </w:t>
      </w:r>
      <w:r w:rsidR="00DE5869">
        <w:rPr>
          <w:rFonts w:ascii="Verdana" w:eastAsia="Times New Roman" w:hAnsi="Verdana" w:cs="Times New Roman"/>
          <w:bCs/>
          <w:color w:val="000000"/>
          <w:lang w:val="en-US"/>
        </w:rPr>
        <w:t xml:space="preserve">said </w:t>
      </w:r>
      <w:r>
        <w:rPr>
          <w:rFonts w:ascii="Verdana" w:eastAsia="Times New Roman" w:hAnsi="Verdana" w:cs="Times New Roman"/>
          <w:bCs/>
          <w:color w:val="000000"/>
          <w:lang w:val="en-US"/>
        </w:rPr>
        <w:t xml:space="preserve">that it would be the anchor of fiscal policy henceforth.  </w:t>
      </w:r>
      <w:r w:rsidR="00976F88">
        <w:rPr>
          <w:rFonts w:ascii="Verdana" w:eastAsia="Times New Roman" w:hAnsi="Verdana" w:cs="Times New Roman"/>
          <w:bCs/>
          <w:color w:val="000000"/>
          <w:lang w:val="en-US"/>
        </w:rPr>
        <w:t>These changes, as will be explained, have the effect of asymmetrical fiscal adjustment paths between Union and State</w:t>
      </w:r>
      <w:r w:rsidR="003C4286">
        <w:rPr>
          <w:rFonts w:ascii="Verdana" w:eastAsia="Times New Roman" w:hAnsi="Verdana" w:cs="Times New Roman"/>
          <w:bCs/>
          <w:color w:val="000000"/>
          <w:lang w:val="en-US"/>
        </w:rPr>
        <w:t>s</w:t>
      </w:r>
      <w:r w:rsidR="00976F88">
        <w:rPr>
          <w:rFonts w:ascii="Verdana" w:eastAsia="Times New Roman" w:hAnsi="Verdana" w:cs="Times New Roman"/>
          <w:bCs/>
          <w:color w:val="000000"/>
          <w:lang w:val="en-US"/>
        </w:rPr>
        <w:t xml:space="preserve">, thus </w:t>
      </w:r>
      <w:r w:rsidR="008A638A">
        <w:rPr>
          <w:rFonts w:ascii="Verdana" w:eastAsia="Times New Roman" w:hAnsi="Verdana" w:cs="Times New Roman"/>
          <w:bCs/>
          <w:color w:val="000000"/>
          <w:lang w:val="en-US"/>
        </w:rPr>
        <w:t>affecting vertical balance.  They</w:t>
      </w:r>
      <w:r w:rsidR="00976F88">
        <w:rPr>
          <w:rFonts w:ascii="Verdana" w:eastAsia="Times New Roman" w:hAnsi="Verdana" w:cs="Times New Roman"/>
          <w:bCs/>
          <w:color w:val="000000"/>
          <w:lang w:val="en-US"/>
        </w:rPr>
        <w:t xml:space="preserve"> </w:t>
      </w:r>
      <w:r w:rsidR="00D13D7E">
        <w:rPr>
          <w:rFonts w:ascii="Verdana" w:eastAsia="Times New Roman" w:hAnsi="Verdana" w:cs="Times New Roman"/>
          <w:bCs/>
          <w:color w:val="000000"/>
          <w:lang w:val="en-US"/>
        </w:rPr>
        <w:t xml:space="preserve">impact </w:t>
      </w:r>
      <w:r w:rsidR="007B1300">
        <w:rPr>
          <w:rFonts w:ascii="Verdana" w:eastAsia="Times New Roman" w:hAnsi="Verdana" w:cs="Times New Roman"/>
          <w:bCs/>
          <w:color w:val="000000"/>
          <w:lang w:val="en-US"/>
        </w:rPr>
        <w:t xml:space="preserve">States' </w:t>
      </w:r>
      <w:r w:rsidR="00976F88">
        <w:rPr>
          <w:rFonts w:ascii="Verdana" w:eastAsia="Times New Roman" w:hAnsi="Verdana" w:cs="Times New Roman"/>
          <w:bCs/>
          <w:color w:val="000000"/>
          <w:lang w:val="en-US"/>
        </w:rPr>
        <w:t>access to debt finance</w:t>
      </w:r>
      <w:r w:rsidR="007B1300">
        <w:rPr>
          <w:rFonts w:ascii="Verdana" w:eastAsia="Times New Roman" w:hAnsi="Verdana" w:cs="Times New Roman"/>
          <w:bCs/>
          <w:color w:val="000000"/>
          <w:lang w:val="en-US"/>
        </w:rPr>
        <w:t xml:space="preserve"> in a regressive manner,</w:t>
      </w:r>
      <w:r w:rsidR="00976F88">
        <w:rPr>
          <w:rFonts w:ascii="Verdana" w:eastAsia="Times New Roman" w:hAnsi="Verdana" w:cs="Times New Roman"/>
          <w:bCs/>
          <w:color w:val="000000"/>
          <w:lang w:val="en-US"/>
        </w:rPr>
        <w:t xml:space="preserve"> thus affecting h</w:t>
      </w:r>
      <w:r w:rsidR="008A638A">
        <w:rPr>
          <w:rFonts w:ascii="Verdana" w:eastAsia="Times New Roman" w:hAnsi="Verdana" w:cs="Times New Roman"/>
          <w:bCs/>
          <w:color w:val="000000"/>
          <w:lang w:val="en-US"/>
        </w:rPr>
        <w:t>orizontal balance.</w:t>
      </w:r>
      <w:r w:rsidR="00D13D7E">
        <w:rPr>
          <w:rFonts w:ascii="Verdana" w:eastAsia="Times New Roman" w:hAnsi="Verdana" w:cs="Times New Roman"/>
          <w:bCs/>
          <w:color w:val="000000"/>
          <w:lang w:val="en-US"/>
        </w:rPr>
        <w:t xml:space="preserve"> </w:t>
      </w:r>
      <w:r w:rsidR="008A638A">
        <w:rPr>
          <w:rFonts w:ascii="Verdana" w:eastAsia="Times New Roman" w:hAnsi="Verdana" w:cs="Times New Roman"/>
          <w:bCs/>
          <w:color w:val="000000"/>
          <w:lang w:val="en-US"/>
        </w:rPr>
        <w:t xml:space="preserve">They </w:t>
      </w:r>
      <w:r w:rsidR="00D13D7E">
        <w:rPr>
          <w:rFonts w:ascii="Verdana" w:eastAsia="Times New Roman" w:hAnsi="Verdana" w:cs="Times New Roman"/>
          <w:bCs/>
          <w:color w:val="000000"/>
          <w:lang w:val="en-US"/>
        </w:rPr>
        <w:t>dilute</w:t>
      </w:r>
      <w:r w:rsidR="00976F88">
        <w:rPr>
          <w:rFonts w:ascii="Verdana" w:eastAsia="Times New Roman" w:hAnsi="Verdana" w:cs="Times New Roman"/>
          <w:bCs/>
          <w:color w:val="000000"/>
          <w:lang w:val="en-US"/>
        </w:rPr>
        <w:t xml:space="preserve"> the independence of </w:t>
      </w:r>
      <w:r w:rsidR="008A638A">
        <w:rPr>
          <w:rFonts w:ascii="Verdana" w:eastAsia="Times New Roman" w:hAnsi="Verdana" w:cs="Times New Roman"/>
          <w:bCs/>
          <w:color w:val="000000"/>
          <w:lang w:val="en-US"/>
        </w:rPr>
        <w:t>the proposed</w:t>
      </w:r>
      <w:r w:rsidR="00976F88">
        <w:rPr>
          <w:rFonts w:ascii="Verdana" w:eastAsia="Times New Roman" w:hAnsi="Verdana" w:cs="Times New Roman"/>
          <w:bCs/>
          <w:color w:val="000000"/>
          <w:lang w:val="en-US"/>
        </w:rPr>
        <w:t xml:space="preserve"> fiscal </w:t>
      </w:r>
      <w:r w:rsidR="00C7632A">
        <w:rPr>
          <w:rFonts w:ascii="Verdana" w:eastAsia="Times New Roman" w:hAnsi="Verdana" w:cs="Times New Roman"/>
          <w:bCs/>
          <w:color w:val="000000"/>
          <w:lang w:val="en-US"/>
        </w:rPr>
        <w:t>council</w:t>
      </w:r>
      <w:r w:rsidR="00F9108A">
        <w:rPr>
          <w:rFonts w:ascii="Verdana" w:eastAsia="Times New Roman" w:hAnsi="Verdana" w:cs="Times New Roman"/>
          <w:bCs/>
          <w:color w:val="000000"/>
          <w:lang w:val="en-US"/>
        </w:rPr>
        <w:t xml:space="preserve"> </w:t>
      </w:r>
      <w:r w:rsidR="008A638A">
        <w:rPr>
          <w:rFonts w:ascii="Verdana" w:eastAsia="Times New Roman" w:hAnsi="Verdana" w:cs="Times New Roman"/>
          <w:bCs/>
          <w:color w:val="000000"/>
          <w:lang w:val="en-US"/>
        </w:rPr>
        <w:t xml:space="preserve">as </w:t>
      </w:r>
      <w:r w:rsidR="00F9108A">
        <w:rPr>
          <w:rFonts w:ascii="Verdana" w:eastAsia="Times New Roman" w:hAnsi="Verdana" w:cs="Times New Roman"/>
          <w:bCs/>
          <w:color w:val="000000"/>
          <w:lang w:val="en-US"/>
        </w:rPr>
        <w:t>made by XIV Finance Commission</w:t>
      </w:r>
      <w:r w:rsidR="00976F88">
        <w:rPr>
          <w:rFonts w:ascii="Verdana" w:eastAsia="Times New Roman" w:hAnsi="Verdana" w:cs="Times New Roman"/>
          <w:bCs/>
          <w:color w:val="000000"/>
          <w:lang w:val="en-US"/>
        </w:rPr>
        <w:t xml:space="preserve">.  Some explanation is needed to </w:t>
      </w:r>
      <w:r w:rsidR="00926B48">
        <w:rPr>
          <w:rFonts w:ascii="Verdana" w:eastAsia="Times New Roman" w:hAnsi="Verdana" w:cs="Times New Roman"/>
          <w:bCs/>
          <w:color w:val="000000"/>
          <w:lang w:val="en-US"/>
        </w:rPr>
        <w:t xml:space="preserve">substantiate </w:t>
      </w:r>
      <w:r w:rsidR="00976F88">
        <w:rPr>
          <w:rFonts w:ascii="Verdana" w:eastAsia="Times New Roman" w:hAnsi="Verdana" w:cs="Times New Roman"/>
          <w:bCs/>
          <w:color w:val="000000"/>
          <w:lang w:val="en-US"/>
        </w:rPr>
        <w:t xml:space="preserve">these assertions.  </w:t>
      </w:r>
    </w:p>
    <w:p w:rsidR="007D3E98" w:rsidRPr="00BE2698" w:rsidRDefault="007D3E98" w:rsidP="007D3E98">
      <w:pPr>
        <w:spacing w:before="240" w:line="480" w:lineRule="auto"/>
        <w:ind w:firstLine="720"/>
        <w:jc w:val="both"/>
        <w:rPr>
          <w:rFonts w:ascii="Verdana" w:hAnsi="Verdana"/>
        </w:rPr>
      </w:pPr>
      <w:r w:rsidRPr="00BE2698">
        <w:rPr>
          <w:rFonts w:ascii="Verdana" w:hAnsi="Verdana"/>
        </w:rPr>
        <w:t xml:space="preserve">Subsequent to the Fourteenth Finance Commission, Government of India had constituted a committee </w:t>
      </w:r>
      <w:r>
        <w:rPr>
          <w:rFonts w:ascii="Verdana" w:hAnsi="Verdana"/>
        </w:rPr>
        <w:t xml:space="preserve">under the Chairmanship of Mr. </w:t>
      </w:r>
      <w:proofErr w:type="spellStart"/>
      <w:r>
        <w:rPr>
          <w:rFonts w:ascii="Verdana" w:hAnsi="Verdana"/>
        </w:rPr>
        <w:t>N.K.</w:t>
      </w:r>
      <w:proofErr w:type="spellEnd"/>
      <w:r>
        <w:rPr>
          <w:rFonts w:ascii="Verdana" w:hAnsi="Verdana"/>
        </w:rPr>
        <w:t xml:space="preserve"> Singh (</w:t>
      </w:r>
      <w:r w:rsidR="007A5FCF">
        <w:rPr>
          <w:rFonts w:ascii="Verdana" w:hAnsi="Verdana"/>
        </w:rPr>
        <w:t>subsequently</w:t>
      </w:r>
      <w:r>
        <w:rPr>
          <w:rFonts w:ascii="Verdana" w:hAnsi="Verdana"/>
        </w:rPr>
        <w:t xml:space="preserve"> appointed as Chairman of Fift</w:t>
      </w:r>
      <w:r w:rsidR="003C4286">
        <w:rPr>
          <w:rFonts w:ascii="Verdana" w:hAnsi="Verdana"/>
        </w:rPr>
        <w:t>eenth Finance Commission in 2017</w:t>
      </w:r>
      <w:r>
        <w:rPr>
          <w:rFonts w:ascii="Verdana" w:hAnsi="Verdana"/>
        </w:rPr>
        <w:t xml:space="preserve">) </w:t>
      </w:r>
      <w:r w:rsidRPr="00BE2698">
        <w:rPr>
          <w:rFonts w:ascii="Verdana" w:hAnsi="Verdana"/>
        </w:rPr>
        <w:t>to review the Fiscal Responsibility a</w:t>
      </w:r>
      <w:r>
        <w:rPr>
          <w:rFonts w:ascii="Verdana" w:hAnsi="Verdana"/>
        </w:rPr>
        <w:t>nd Budget Management (FRBM) Act, specifically known as FRBM</w:t>
      </w:r>
      <w:r w:rsidR="003C4286">
        <w:rPr>
          <w:rFonts w:ascii="Verdana" w:hAnsi="Verdana"/>
        </w:rPr>
        <w:t xml:space="preserve"> Review</w:t>
      </w:r>
      <w:r>
        <w:rPr>
          <w:rFonts w:ascii="Verdana" w:hAnsi="Verdana"/>
        </w:rPr>
        <w:t xml:space="preserve"> Committee.  It </w:t>
      </w:r>
      <w:r w:rsidRPr="00BE2698">
        <w:rPr>
          <w:rFonts w:ascii="Verdana" w:hAnsi="Verdana"/>
        </w:rPr>
        <w:t xml:space="preserve">submitted its recommendations in 2017. The objective was to align the FRBM framework with current international practices and indicators for fiscal prudence. The </w:t>
      </w:r>
      <w:r w:rsidR="002F5C75">
        <w:rPr>
          <w:rFonts w:ascii="Verdana" w:hAnsi="Verdana"/>
        </w:rPr>
        <w:t xml:space="preserve">main </w:t>
      </w:r>
      <w:r w:rsidRPr="00BE2698">
        <w:rPr>
          <w:rFonts w:ascii="Verdana" w:hAnsi="Verdana"/>
        </w:rPr>
        <w:t>recommendations of the Committee covering debt-deficit dynamics of both Centre and States are summarized below:</w:t>
      </w:r>
    </w:p>
    <w:p w:rsidR="007D3E98" w:rsidRPr="00BE2698" w:rsidRDefault="002F5C75" w:rsidP="002F5C75">
      <w:pPr>
        <w:spacing w:before="240" w:line="480" w:lineRule="auto"/>
        <w:ind w:firstLine="720"/>
        <w:jc w:val="both"/>
        <w:rPr>
          <w:rFonts w:ascii="Verdana" w:hAnsi="Verdana"/>
        </w:rPr>
      </w:pPr>
      <w:proofErr w:type="gramStart"/>
      <w:r>
        <w:rPr>
          <w:rFonts w:ascii="Verdana" w:hAnsi="Verdana"/>
        </w:rPr>
        <w:t xml:space="preserve">Firstly, </w:t>
      </w:r>
      <w:r w:rsidR="007676C7">
        <w:rPr>
          <w:rFonts w:ascii="Verdana" w:hAnsi="Verdana"/>
        </w:rPr>
        <w:t>r</w:t>
      </w:r>
      <w:r w:rsidR="007D3E98" w:rsidRPr="00BE2698">
        <w:rPr>
          <w:rFonts w:ascii="Verdana" w:hAnsi="Verdana"/>
        </w:rPr>
        <w:t>epealing of existing FRBM Act and enacting of a new Debt and Fiscal Responsibility Act along with formation of an independent fiscal council.</w:t>
      </w:r>
      <w:proofErr w:type="gramEnd"/>
    </w:p>
    <w:p w:rsidR="007D3E98" w:rsidRPr="00BE2698" w:rsidRDefault="002F5C75" w:rsidP="002F5C75">
      <w:pPr>
        <w:spacing w:line="480" w:lineRule="auto"/>
        <w:ind w:firstLine="720"/>
        <w:jc w:val="both"/>
        <w:rPr>
          <w:rFonts w:ascii="Verdana" w:hAnsi="Verdana"/>
        </w:rPr>
      </w:pPr>
      <w:r>
        <w:rPr>
          <w:rFonts w:ascii="Verdana" w:hAnsi="Verdana"/>
        </w:rPr>
        <w:t>Secondly, d</w:t>
      </w:r>
      <w:r w:rsidR="007D3E98" w:rsidRPr="00BE2698">
        <w:rPr>
          <w:rFonts w:ascii="Verdana" w:hAnsi="Verdana"/>
        </w:rPr>
        <w:t xml:space="preserve">ebt-GDP ratio on a combined basis </w:t>
      </w:r>
      <w:r>
        <w:rPr>
          <w:rFonts w:ascii="Verdana" w:hAnsi="Verdana"/>
        </w:rPr>
        <w:t xml:space="preserve">for the General Government </w:t>
      </w:r>
      <w:r w:rsidR="007D3E98" w:rsidRPr="00BE2698">
        <w:rPr>
          <w:rFonts w:ascii="Verdana" w:hAnsi="Verdana"/>
        </w:rPr>
        <w:t xml:space="preserve">should be </w:t>
      </w:r>
      <w:r w:rsidR="00532857">
        <w:rPr>
          <w:rFonts w:ascii="Verdana" w:hAnsi="Verdana"/>
        </w:rPr>
        <w:t xml:space="preserve">anchored </w:t>
      </w:r>
      <w:r w:rsidR="001148EE">
        <w:rPr>
          <w:rFonts w:ascii="Verdana" w:hAnsi="Verdana"/>
        </w:rPr>
        <w:t xml:space="preserve">to </w:t>
      </w:r>
      <w:r w:rsidR="007D3E98" w:rsidRPr="00BE2698">
        <w:rPr>
          <w:rFonts w:ascii="Verdana" w:hAnsi="Verdana"/>
        </w:rPr>
        <w:t xml:space="preserve">60 per cent </w:t>
      </w:r>
      <w:r w:rsidR="001148EE">
        <w:rPr>
          <w:rFonts w:ascii="Verdana" w:hAnsi="Verdana"/>
        </w:rPr>
        <w:t xml:space="preserve">(from the existing 70 per cent) </w:t>
      </w:r>
      <w:r w:rsidR="003E2C3F">
        <w:rPr>
          <w:rFonts w:ascii="Verdana" w:hAnsi="Verdana"/>
        </w:rPr>
        <w:t>with Centre’s and States'</w:t>
      </w:r>
      <w:r w:rsidR="007D3E98" w:rsidRPr="00BE2698">
        <w:rPr>
          <w:rFonts w:ascii="Verdana" w:hAnsi="Verdana"/>
        </w:rPr>
        <w:t xml:space="preserve"> targets as 40 and 20 per cent, respectively.</w:t>
      </w:r>
    </w:p>
    <w:p w:rsidR="007D3E98" w:rsidRPr="00BE2698" w:rsidRDefault="002F5C75" w:rsidP="002F5C75">
      <w:pPr>
        <w:spacing w:line="480" w:lineRule="auto"/>
        <w:ind w:firstLine="720"/>
        <w:jc w:val="both"/>
        <w:rPr>
          <w:rFonts w:ascii="Verdana" w:hAnsi="Verdana"/>
        </w:rPr>
      </w:pPr>
      <w:proofErr w:type="gramStart"/>
      <w:r>
        <w:rPr>
          <w:rFonts w:ascii="Verdana" w:hAnsi="Verdana"/>
        </w:rPr>
        <w:lastRenderedPageBreak/>
        <w:t>Thirdly, f</w:t>
      </w:r>
      <w:r w:rsidR="007D3E98" w:rsidRPr="00BE2698">
        <w:rPr>
          <w:rFonts w:ascii="Verdana" w:hAnsi="Verdana"/>
        </w:rPr>
        <w:t xml:space="preserve">iscal deficit to be made the </w:t>
      </w:r>
      <w:r w:rsidR="00532857">
        <w:rPr>
          <w:rFonts w:ascii="Verdana" w:hAnsi="Verdana"/>
        </w:rPr>
        <w:t>operational target.</w:t>
      </w:r>
      <w:proofErr w:type="gramEnd"/>
    </w:p>
    <w:p w:rsidR="007D3E98" w:rsidRPr="00BE2698" w:rsidRDefault="002F5C75" w:rsidP="002F5C75">
      <w:pPr>
        <w:spacing w:line="480" w:lineRule="auto"/>
        <w:ind w:firstLine="720"/>
        <w:jc w:val="both"/>
        <w:rPr>
          <w:rFonts w:ascii="Verdana" w:hAnsi="Verdana"/>
        </w:rPr>
      </w:pPr>
      <w:r>
        <w:rPr>
          <w:rFonts w:ascii="Verdana" w:hAnsi="Verdana"/>
        </w:rPr>
        <w:t>Fourthly, within this framework the Committee derived f</w:t>
      </w:r>
      <w:r w:rsidR="007D3E98" w:rsidRPr="00BE2698">
        <w:rPr>
          <w:rFonts w:ascii="Verdana" w:hAnsi="Verdana"/>
        </w:rPr>
        <w:t xml:space="preserve">or the Centre, a fiscal roadmap targeting fiscal deficit-GDP ratio at 3 per cent in the period from 2017-18 to 2019-20, 2.8 per cent in 2020-21, 2.6 per cent in 2021-22, and 2.5 per </w:t>
      </w:r>
      <w:r w:rsidR="0009079B">
        <w:rPr>
          <w:rFonts w:ascii="Verdana" w:hAnsi="Verdana"/>
        </w:rPr>
        <w:t xml:space="preserve">cent in 2022-23.  </w:t>
      </w:r>
      <w:r w:rsidR="007D3E98" w:rsidRPr="00BE2698">
        <w:rPr>
          <w:rFonts w:ascii="Verdana" w:hAnsi="Verdana"/>
        </w:rPr>
        <w:t>Similarly a glide path to bring down the revenue deficit-GDP ratio from 2.05 per cent in 2017-18 to 0.8 per cent in 2022-23 should be adopted.</w:t>
      </w:r>
    </w:p>
    <w:p w:rsidR="007D3E98" w:rsidRPr="00BE2698" w:rsidRDefault="002F5C75" w:rsidP="002F5C75">
      <w:pPr>
        <w:spacing w:line="480" w:lineRule="auto"/>
        <w:ind w:firstLine="720"/>
        <w:jc w:val="both"/>
        <w:rPr>
          <w:rFonts w:ascii="Verdana" w:hAnsi="Verdana"/>
        </w:rPr>
      </w:pPr>
      <w:r>
        <w:rPr>
          <w:rFonts w:ascii="Verdana" w:hAnsi="Verdana"/>
        </w:rPr>
        <w:t>Fifthly, d</w:t>
      </w:r>
      <w:r w:rsidR="007D3E98" w:rsidRPr="00BE2698">
        <w:rPr>
          <w:rFonts w:ascii="Verdana" w:hAnsi="Verdana"/>
        </w:rPr>
        <w:t xml:space="preserve">eviations from the set fiscal deficit target should not exceed more than 0.5 percentage points. Targets can be exceeded only under certain escape clauses after consultation with the fiscal council. These clauses could be invoked under exceptional circumstances or when there is a decline in real output growth of at least three per cent below the average for the previous four quarters. </w:t>
      </w:r>
    </w:p>
    <w:p w:rsidR="00275854" w:rsidRDefault="00011433" w:rsidP="00011433">
      <w:pPr>
        <w:spacing w:line="480" w:lineRule="auto"/>
        <w:ind w:firstLine="720"/>
        <w:jc w:val="both"/>
        <w:rPr>
          <w:rFonts w:ascii="Verdana" w:hAnsi="Verdana"/>
        </w:rPr>
      </w:pPr>
      <w:r>
        <w:rPr>
          <w:rFonts w:ascii="Verdana" w:hAnsi="Verdana"/>
        </w:rPr>
        <w:t>Sixthly</w:t>
      </w:r>
      <w:r w:rsidR="007D3E98" w:rsidRPr="00BE2698">
        <w:rPr>
          <w:rFonts w:ascii="Verdana" w:hAnsi="Verdana"/>
        </w:rPr>
        <w:t xml:space="preserve">, the FRBM Committee did not specify State specific deficit paths and instead recommended that the State-wise overall debt and fiscal targets should be assigned to the Fifteenth Finance Commission through a specific ToR. The Committee </w:t>
      </w:r>
      <w:r w:rsidR="00275854">
        <w:rPr>
          <w:rFonts w:ascii="Verdana" w:hAnsi="Verdana"/>
        </w:rPr>
        <w:t>noted that u</w:t>
      </w:r>
      <w:r w:rsidR="007D3E98" w:rsidRPr="00BE2698">
        <w:rPr>
          <w:rFonts w:ascii="Verdana" w:hAnsi="Verdana"/>
        </w:rPr>
        <w:t>ntil such time as the Fifteenth Finance Commission makes its recommendations the status quo inter</w:t>
      </w:r>
      <w:r w:rsidR="006F68DE">
        <w:rPr>
          <w:rFonts w:ascii="Verdana" w:hAnsi="Verdana"/>
        </w:rPr>
        <w:t>-</w:t>
      </w:r>
      <w:r w:rsidR="007D3E98" w:rsidRPr="00BE2698">
        <w:rPr>
          <w:rFonts w:ascii="Verdana" w:hAnsi="Verdana"/>
        </w:rPr>
        <w:t xml:space="preserve">se proportions can be maintained. </w:t>
      </w:r>
    </w:p>
    <w:p w:rsidR="00275854" w:rsidRDefault="00275854" w:rsidP="00011433">
      <w:pPr>
        <w:spacing w:line="480" w:lineRule="auto"/>
        <w:ind w:firstLine="720"/>
        <w:jc w:val="both"/>
        <w:rPr>
          <w:rFonts w:ascii="Verdana" w:hAnsi="Verdana"/>
        </w:rPr>
      </w:pPr>
      <w:r>
        <w:rPr>
          <w:rFonts w:ascii="Verdana" w:hAnsi="Verdana"/>
        </w:rPr>
        <w:t>The Committee said that State debt wa</w:t>
      </w:r>
      <w:r w:rsidR="007D3E98" w:rsidRPr="00BE2698">
        <w:rPr>
          <w:rFonts w:ascii="Verdana" w:hAnsi="Verdana"/>
        </w:rPr>
        <w:t>s currently not significantly higher than the end p</w:t>
      </w:r>
      <w:r w:rsidR="00537D28">
        <w:rPr>
          <w:rFonts w:ascii="Verdana" w:hAnsi="Verdana"/>
        </w:rPr>
        <w:t xml:space="preserve">oint anchor </w:t>
      </w:r>
      <w:r w:rsidR="00532857">
        <w:rPr>
          <w:rFonts w:ascii="Verdana" w:hAnsi="Verdana"/>
        </w:rPr>
        <w:t xml:space="preserve">(20% of GDP) </w:t>
      </w:r>
      <w:r w:rsidR="00537D28">
        <w:rPr>
          <w:rFonts w:ascii="Verdana" w:hAnsi="Verdana"/>
        </w:rPr>
        <w:t>that was</w:t>
      </w:r>
      <w:r w:rsidR="007D3E98" w:rsidRPr="00BE2698">
        <w:rPr>
          <w:rFonts w:ascii="Verdana" w:hAnsi="Verdana"/>
        </w:rPr>
        <w:t xml:space="preserve"> propose</w:t>
      </w:r>
      <w:r w:rsidR="00537D28">
        <w:rPr>
          <w:rFonts w:ascii="Verdana" w:hAnsi="Verdana"/>
        </w:rPr>
        <w:t>d</w:t>
      </w:r>
      <w:r w:rsidR="007D3E98" w:rsidRPr="00BE2698">
        <w:rPr>
          <w:rFonts w:ascii="Verdana" w:hAnsi="Verdana"/>
        </w:rPr>
        <w:t>. Therefore, maintaining status quo will not</w:t>
      </w:r>
      <w:r w:rsidR="00537D28">
        <w:rPr>
          <w:rFonts w:ascii="Verdana" w:hAnsi="Verdana"/>
        </w:rPr>
        <w:t xml:space="preserve">, in its view, </w:t>
      </w:r>
      <w:r w:rsidR="007D3E98" w:rsidRPr="00BE2698">
        <w:rPr>
          <w:rFonts w:ascii="Verdana" w:hAnsi="Verdana"/>
        </w:rPr>
        <w:t xml:space="preserve">significantly impact </w:t>
      </w:r>
      <w:r w:rsidR="00EC1000">
        <w:rPr>
          <w:rFonts w:ascii="Verdana" w:hAnsi="Verdana"/>
        </w:rPr>
        <w:t>longer-term recommendations, and</w:t>
      </w:r>
      <w:r w:rsidR="00696C19">
        <w:rPr>
          <w:rFonts w:ascii="Verdana" w:hAnsi="Verdana"/>
        </w:rPr>
        <w:t xml:space="preserve"> will also allow S</w:t>
      </w:r>
      <w:r w:rsidR="007D3E98" w:rsidRPr="00BE2698">
        <w:rPr>
          <w:rFonts w:ascii="Verdana" w:hAnsi="Verdana"/>
        </w:rPr>
        <w:t xml:space="preserve">tates to consolidate over </w:t>
      </w:r>
      <w:proofErr w:type="gramStart"/>
      <w:r w:rsidR="007D3E98" w:rsidRPr="00BE2698">
        <w:rPr>
          <w:rFonts w:ascii="Verdana" w:hAnsi="Verdana"/>
        </w:rPr>
        <w:t>a</w:t>
      </w:r>
      <w:proofErr w:type="gramEnd"/>
      <w:r w:rsidR="007D3E98" w:rsidRPr="00BE2698">
        <w:rPr>
          <w:rFonts w:ascii="Verdana" w:hAnsi="Verdana"/>
        </w:rPr>
        <w:t xml:space="preserve"> eleven–year time frame with the consolidation path for the first 5 years prescribed by the Fifteenth Finance Commissi</w:t>
      </w:r>
      <w:r w:rsidR="00696C19">
        <w:rPr>
          <w:rFonts w:ascii="Verdana" w:hAnsi="Verdana"/>
        </w:rPr>
        <w:t>on for individual S</w:t>
      </w:r>
      <w:r w:rsidR="007D3E98" w:rsidRPr="00BE2698">
        <w:rPr>
          <w:rFonts w:ascii="Verdana" w:hAnsi="Verdana"/>
        </w:rPr>
        <w:t>tates.”</w:t>
      </w:r>
      <w:r>
        <w:rPr>
          <w:rFonts w:ascii="Verdana" w:hAnsi="Verdana"/>
        </w:rPr>
        <w:t xml:space="preserve"> </w:t>
      </w:r>
      <w:r w:rsidR="007D3E98" w:rsidRPr="00BE2698">
        <w:rPr>
          <w:rFonts w:ascii="Verdana" w:hAnsi="Verdana"/>
        </w:rPr>
        <w:t xml:space="preserve"> </w:t>
      </w:r>
    </w:p>
    <w:p w:rsidR="007D3E98" w:rsidRPr="00BE2698" w:rsidRDefault="00EC1000" w:rsidP="00011433">
      <w:pPr>
        <w:spacing w:line="480" w:lineRule="auto"/>
        <w:ind w:firstLine="720"/>
        <w:jc w:val="both"/>
        <w:rPr>
          <w:rFonts w:ascii="Verdana" w:hAnsi="Verdana"/>
        </w:rPr>
      </w:pPr>
      <w:r>
        <w:rPr>
          <w:rFonts w:ascii="Verdana" w:hAnsi="Verdana"/>
        </w:rPr>
        <w:lastRenderedPageBreak/>
        <w:t xml:space="preserve">Currently, </w:t>
      </w:r>
      <w:r w:rsidR="007D3E98" w:rsidRPr="00BE2698">
        <w:rPr>
          <w:rFonts w:ascii="Verdana" w:hAnsi="Verdana"/>
        </w:rPr>
        <w:t xml:space="preserve">there is significant difference in the debt to GSDP ratio across States and access to per-capita debt is highly regressive across States. </w:t>
      </w:r>
      <w:r w:rsidR="005D00C5">
        <w:rPr>
          <w:rFonts w:ascii="Verdana" w:hAnsi="Verdana"/>
        </w:rPr>
        <w:t>A</w:t>
      </w:r>
      <w:r w:rsidR="007D3E98" w:rsidRPr="00BE2698">
        <w:rPr>
          <w:rFonts w:ascii="Verdana" w:hAnsi="Verdana"/>
        </w:rPr>
        <w:t xml:space="preserve"> differential fiscal adjustment path for States </w:t>
      </w:r>
      <w:r w:rsidR="00E27D24">
        <w:rPr>
          <w:rFonts w:ascii="Verdana" w:hAnsi="Verdana"/>
        </w:rPr>
        <w:t xml:space="preserve">may be needed </w:t>
      </w:r>
      <w:r w:rsidR="007D3E98" w:rsidRPr="00BE2698">
        <w:rPr>
          <w:rFonts w:ascii="Verdana" w:hAnsi="Verdana"/>
        </w:rPr>
        <w:t xml:space="preserve">keeping in view its impact on fiscal space for capital expenditure, especially for poorer States. </w:t>
      </w:r>
    </w:p>
    <w:p w:rsidR="00FF7F41" w:rsidRDefault="00FF7F41" w:rsidP="00FF7F41">
      <w:pPr>
        <w:spacing w:before="240" w:after="0" w:line="480" w:lineRule="auto"/>
        <w:ind w:firstLine="720"/>
        <w:jc w:val="both"/>
        <w:rPr>
          <w:rFonts w:ascii="Verdana" w:eastAsia="Times New Roman" w:hAnsi="Verdana" w:cs="Times New Roman"/>
          <w:color w:val="000000"/>
          <w:lang w:val="en-US"/>
        </w:rPr>
      </w:pPr>
      <w:r w:rsidRPr="00FF7F41">
        <w:rPr>
          <w:rFonts w:ascii="Verdana" w:eastAsia="Times New Roman" w:hAnsi="Verdana" w:cs="Times New Roman"/>
          <w:color w:val="000000"/>
          <w:lang w:val="en-US"/>
        </w:rPr>
        <w:t xml:space="preserve">The FRBM Review Committee recommended that </w:t>
      </w:r>
      <w:r w:rsidR="00926B48">
        <w:rPr>
          <w:rFonts w:ascii="Verdana" w:eastAsia="Times New Roman" w:hAnsi="Verdana" w:cs="Times New Roman"/>
          <w:color w:val="000000"/>
          <w:lang w:val="en-US"/>
        </w:rPr>
        <w:t xml:space="preserve">the </w:t>
      </w:r>
      <w:r w:rsidRPr="00FF7F41">
        <w:rPr>
          <w:rFonts w:ascii="Verdana" w:eastAsia="Times New Roman" w:hAnsi="Verdana" w:cs="Times New Roman"/>
          <w:color w:val="000000"/>
          <w:lang w:val="en-US"/>
        </w:rPr>
        <w:t xml:space="preserve">operational parameter of fiscal management should be the </w:t>
      </w:r>
      <w:r w:rsidR="004B7218">
        <w:rPr>
          <w:rFonts w:ascii="Verdana" w:eastAsia="Times New Roman" w:hAnsi="Verdana" w:cs="Times New Roman"/>
          <w:color w:val="000000"/>
          <w:lang w:val="en-US"/>
        </w:rPr>
        <w:t xml:space="preserve">fiscal deficit consistent with </w:t>
      </w:r>
      <w:r w:rsidR="006C525D">
        <w:rPr>
          <w:rFonts w:ascii="Verdana" w:eastAsia="Times New Roman" w:hAnsi="Verdana" w:cs="Times New Roman"/>
          <w:color w:val="000000"/>
          <w:lang w:val="en-US"/>
        </w:rPr>
        <w:t>achieving</w:t>
      </w:r>
      <w:r w:rsidR="004B7218">
        <w:rPr>
          <w:rFonts w:ascii="Verdana" w:eastAsia="Times New Roman" w:hAnsi="Verdana" w:cs="Times New Roman"/>
          <w:color w:val="000000"/>
          <w:lang w:val="en-US"/>
        </w:rPr>
        <w:t xml:space="preserve"> medium-term debt ceiling</w:t>
      </w:r>
      <w:r w:rsidRPr="00FF7F41">
        <w:rPr>
          <w:rFonts w:ascii="Verdana" w:eastAsia="Times New Roman" w:hAnsi="Verdana" w:cs="Times New Roman"/>
          <w:color w:val="000000"/>
          <w:lang w:val="en-US"/>
        </w:rPr>
        <w:t>. This requires bringing down the combined debt to GDP ratio to 60 per cent of GDP by 2025. The Union government is required to bring this ratio to 40 per cent of GD</w:t>
      </w:r>
      <w:r w:rsidR="007A4324">
        <w:rPr>
          <w:rFonts w:ascii="Verdana" w:eastAsia="Times New Roman" w:hAnsi="Verdana" w:cs="Times New Roman"/>
          <w:color w:val="000000"/>
          <w:lang w:val="en-US"/>
        </w:rPr>
        <w:t>P by 2025 and States together are</w:t>
      </w:r>
      <w:r w:rsidRPr="00FF7F41">
        <w:rPr>
          <w:rFonts w:ascii="Verdana" w:eastAsia="Times New Roman" w:hAnsi="Verdana" w:cs="Times New Roman"/>
          <w:color w:val="000000"/>
          <w:lang w:val="en-US"/>
        </w:rPr>
        <w:t xml:space="preserve"> required to bring this ratio to 20 per cent of GDP. </w:t>
      </w:r>
    </w:p>
    <w:p w:rsidR="00FF7F41" w:rsidRPr="00FF7F41" w:rsidRDefault="008769E8" w:rsidP="00E22DE8">
      <w:pPr>
        <w:spacing w:before="240" w:after="0" w:line="240" w:lineRule="auto"/>
        <w:jc w:val="center"/>
        <w:rPr>
          <w:rFonts w:ascii="Times New Roman" w:eastAsia="Times New Roman" w:hAnsi="Times New Roman" w:cs="Times New Roman"/>
          <w:sz w:val="24"/>
          <w:szCs w:val="24"/>
          <w:lang w:val="en-US"/>
        </w:rPr>
      </w:pPr>
      <w:r>
        <w:rPr>
          <w:rFonts w:ascii="Verdana" w:eastAsia="Times New Roman" w:hAnsi="Verdana" w:cs="Times New Roman"/>
          <w:b/>
          <w:bCs/>
          <w:color w:val="000000"/>
          <w:lang w:val="en-US"/>
        </w:rPr>
        <w:t>Table 2</w:t>
      </w:r>
      <w:r w:rsidR="00FF7F41" w:rsidRPr="00FF7F41">
        <w:rPr>
          <w:rFonts w:ascii="Verdana" w:eastAsia="Times New Roman" w:hAnsi="Verdana" w:cs="Times New Roman"/>
          <w:b/>
          <w:bCs/>
          <w:color w:val="000000"/>
          <w:lang w:val="en-US"/>
        </w:rPr>
        <w:t>: Deficit and Debt Profile of Union Government</w:t>
      </w:r>
    </w:p>
    <w:p w:rsidR="00FF7F41" w:rsidRPr="00FF7F41" w:rsidRDefault="00FF7F41" w:rsidP="00FF7F41">
      <w:pPr>
        <w:spacing w:after="0" w:line="240" w:lineRule="auto"/>
        <w:jc w:val="center"/>
        <w:rPr>
          <w:rFonts w:ascii="Times New Roman" w:eastAsia="Times New Roman" w:hAnsi="Times New Roman" w:cs="Times New Roman"/>
          <w:sz w:val="24"/>
          <w:szCs w:val="24"/>
          <w:lang w:val="en-US"/>
        </w:rPr>
      </w:pPr>
      <w:r w:rsidRPr="00FF7F41">
        <w:rPr>
          <w:rFonts w:ascii="Verdana" w:eastAsia="Times New Roman" w:hAnsi="Verdana" w:cs="Times New Roman"/>
          <w:color w:val="000000"/>
          <w:lang w:val="en-US"/>
        </w:rPr>
        <w:t>(In Per cent)</w:t>
      </w:r>
    </w:p>
    <w:tbl>
      <w:tblPr>
        <w:tblW w:w="0" w:type="auto"/>
        <w:tblCellMar>
          <w:top w:w="15" w:type="dxa"/>
          <w:left w:w="15" w:type="dxa"/>
          <w:bottom w:w="15" w:type="dxa"/>
          <w:right w:w="15" w:type="dxa"/>
        </w:tblCellMar>
        <w:tblLook w:val="04A0"/>
      </w:tblPr>
      <w:tblGrid>
        <w:gridCol w:w="1740"/>
        <w:gridCol w:w="862"/>
        <w:gridCol w:w="862"/>
        <w:gridCol w:w="862"/>
        <w:gridCol w:w="1076"/>
        <w:gridCol w:w="862"/>
        <w:gridCol w:w="1076"/>
        <w:gridCol w:w="1118"/>
        <w:gridCol w:w="1118"/>
      </w:tblGrid>
      <w:tr w:rsidR="00FF7F41" w:rsidRPr="00FF7F41" w:rsidTr="00FF7F4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2014-15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2015-16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2016-17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2017-18 (RE)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2017-18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2018-19 (BE)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2018-19 (RE)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2019-20 (BE)</w:t>
            </w:r>
          </w:p>
        </w:tc>
      </w:tr>
      <w:tr w:rsidR="00FF7F41" w:rsidRPr="00FF7F41" w:rsidTr="00FF7F4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Revenue Deficit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2.2</w:t>
            </w:r>
          </w:p>
        </w:tc>
      </w:tr>
      <w:tr w:rsidR="00FF7F41" w:rsidRPr="00FF7F41" w:rsidTr="00FF7F4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Effective Revenue Deficit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1.3</w:t>
            </w:r>
          </w:p>
        </w:tc>
      </w:tr>
      <w:tr w:rsidR="00FF7F41" w:rsidRPr="00FF7F41" w:rsidTr="00FF7F4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Fiscal Deficit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3.4</w:t>
            </w:r>
          </w:p>
        </w:tc>
      </w:tr>
      <w:tr w:rsidR="00FF7F41" w:rsidRPr="00FF7F41" w:rsidTr="00FF7F4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Primary Deficit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0.2</w:t>
            </w:r>
          </w:p>
        </w:tc>
      </w:tr>
      <w:tr w:rsidR="00FF7F41" w:rsidRPr="00FF7F41" w:rsidTr="00FF7F4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Debt to GDP Ratio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50.07%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50.14%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48.75%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49.10%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48.65%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7F41" w:rsidRPr="00FF7F41" w:rsidRDefault="00FF7F41" w:rsidP="00FF7F41">
            <w:pPr>
              <w:spacing w:after="0" w:line="240" w:lineRule="auto"/>
              <w:jc w:val="both"/>
              <w:rPr>
                <w:rFonts w:ascii="Times New Roman" w:eastAsia="Times New Roman" w:hAnsi="Times New Roman" w:cs="Times New Roman"/>
                <w:sz w:val="24"/>
                <w:szCs w:val="24"/>
                <w:lang w:val="en-US"/>
              </w:rPr>
            </w:pPr>
            <w:r w:rsidRPr="00FF7F41">
              <w:rPr>
                <w:rFonts w:ascii="Times New Roman" w:eastAsia="Times New Roman" w:hAnsi="Times New Roman" w:cs="Times New Roman"/>
                <w:color w:val="000000"/>
                <w:sz w:val="20"/>
                <w:szCs w:val="20"/>
                <w:lang w:val="en-US"/>
              </w:rPr>
              <w:t>47.41%</w:t>
            </w:r>
          </w:p>
        </w:tc>
      </w:tr>
    </w:tbl>
    <w:p w:rsidR="00A66C09" w:rsidRDefault="00A66C09" w:rsidP="00A66C09">
      <w:pPr>
        <w:spacing w:before="240" w:after="0" w:line="480" w:lineRule="auto"/>
        <w:ind w:firstLine="720"/>
        <w:jc w:val="both"/>
        <w:rPr>
          <w:rFonts w:ascii="Verdana" w:eastAsia="Times New Roman" w:hAnsi="Verdana" w:cs="Times New Roman"/>
          <w:color w:val="000000"/>
          <w:lang w:val="en-US"/>
        </w:rPr>
      </w:pPr>
    </w:p>
    <w:p w:rsidR="00FF7F41" w:rsidRDefault="00911EA9" w:rsidP="00A66C09">
      <w:pPr>
        <w:spacing w:after="0" w:line="480" w:lineRule="auto"/>
        <w:ind w:firstLine="720"/>
        <w:jc w:val="both"/>
        <w:rPr>
          <w:rFonts w:ascii="Verdana" w:eastAsia="Times New Roman" w:hAnsi="Verdana" w:cs="Times New Roman"/>
          <w:color w:val="000000"/>
          <w:lang w:val="en-US"/>
        </w:rPr>
      </w:pPr>
      <w:r>
        <w:rPr>
          <w:rFonts w:ascii="Verdana" w:eastAsia="Times New Roman" w:hAnsi="Verdana" w:cs="Times New Roman"/>
          <w:color w:val="000000"/>
          <w:lang w:val="en-US"/>
        </w:rPr>
        <w:t>As evident from Table 2</w:t>
      </w:r>
      <w:r w:rsidR="00FF7F41" w:rsidRPr="00FF7F41">
        <w:rPr>
          <w:rFonts w:ascii="Verdana" w:eastAsia="Times New Roman" w:hAnsi="Verdana" w:cs="Times New Roman"/>
          <w:color w:val="000000"/>
          <w:lang w:val="en-US"/>
        </w:rPr>
        <w:t xml:space="preserve">, the Union government is having a large fiscal imbalance and its debt to GDP ratio is expected to be 47.71 per cent of GDP in 2019-20 (BE). The debt to GDP ratio of States for the year 2018-19 (BE) is 24.91 per cent of GDP. In other words, the Union government </w:t>
      </w:r>
      <w:r w:rsidR="00926B48">
        <w:rPr>
          <w:rFonts w:ascii="Verdana" w:eastAsia="Times New Roman" w:hAnsi="Verdana" w:cs="Times New Roman"/>
          <w:color w:val="000000"/>
          <w:lang w:val="en-US"/>
        </w:rPr>
        <w:t xml:space="preserve">is </w:t>
      </w:r>
      <w:r w:rsidR="00FF7F41" w:rsidRPr="00FF7F41">
        <w:rPr>
          <w:rFonts w:ascii="Verdana" w:eastAsia="Times New Roman" w:hAnsi="Verdana" w:cs="Times New Roman"/>
          <w:color w:val="000000"/>
          <w:lang w:val="en-US"/>
        </w:rPr>
        <w:t>require</w:t>
      </w:r>
      <w:r w:rsidR="00926B48">
        <w:rPr>
          <w:rFonts w:ascii="Verdana" w:eastAsia="Times New Roman" w:hAnsi="Verdana" w:cs="Times New Roman"/>
          <w:color w:val="000000"/>
          <w:lang w:val="en-US"/>
        </w:rPr>
        <w:t>d</w:t>
      </w:r>
      <w:r w:rsidR="00FF7F41" w:rsidRPr="00FF7F41">
        <w:rPr>
          <w:rFonts w:ascii="Verdana" w:eastAsia="Times New Roman" w:hAnsi="Verdana" w:cs="Times New Roman"/>
          <w:color w:val="000000"/>
          <w:lang w:val="en-US"/>
        </w:rPr>
        <w:t xml:space="preserve"> to take larger corrections in debt to GDP ratio compared to States to bring this ratio together to 60 per cent of GDP. But</w:t>
      </w:r>
      <w:r w:rsidR="00926B48">
        <w:rPr>
          <w:rFonts w:ascii="Verdana" w:eastAsia="Times New Roman" w:hAnsi="Verdana" w:cs="Times New Roman"/>
          <w:color w:val="000000"/>
          <w:lang w:val="en-US"/>
        </w:rPr>
        <w:t>,</w:t>
      </w:r>
      <w:r w:rsidR="00FF7F41" w:rsidRPr="00FF7F41">
        <w:rPr>
          <w:rFonts w:ascii="Verdana" w:eastAsia="Times New Roman" w:hAnsi="Verdana" w:cs="Times New Roman"/>
          <w:color w:val="000000"/>
          <w:lang w:val="en-US"/>
        </w:rPr>
        <w:t xml:space="preserve"> as recommend by the FRBM Committee, in order to achieve this, Union government needs to bring the deficit to 2.5 per cent of GDP by </w:t>
      </w:r>
      <w:r w:rsidR="00FF7F41" w:rsidRPr="00FF7F41">
        <w:rPr>
          <w:rFonts w:ascii="Verdana" w:eastAsia="Times New Roman" w:hAnsi="Verdana" w:cs="Times New Roman"/>
          <w:color w:val="000000"/>
          <w:lang w:val="en-US"/>
        </w:rPr>
        <w:lastRenderedPageBreak/>
        <w:t xml:space="preserve">the end of 2025 and States to 1.78 per cent of GDP by 2025. In other words, States will have to undertake larger fiscal correction compared to the Union government despite being fiscally prudent compared to the Union government. </w:t>
      </w:r>
    </w:p>
    <w:p w:rsidR="0066600C" w:rsidRDefault="00F13F00" w:rsidP="00FF7F41">
      <w:pPr>
        <w:spacing w:before="240" w:after="0" w:line="480" w:lineRule="auto"/>
        <w:ind w:firstLine="720"/>
        <w:jc w:val="both"/>
        <w:rPr>
          <w:rFonts w:ascii="Verdana" w:eastAsia="Times New Roman" w:hAnsi="Verdana" w:cs="Times New Roman"/>
          <w:color w:val="000000"/>
          <w:lang w:val="en-US"/>
        </w:rPr>
      </w:pPr>
      <w:r>
        <w:rPr>
          <w:rFonts w:ascii="Verdana" w:eastAsia="Times New Roman" w:hAnsi="Verdana" w:cs="Times New Roman"/>
          <w:color w:val="000000"/>
          <w:lang w:val="en-US"/>
        </w:rPr>
        <w:t xml:space="preserve">An </w:t>
      </w:r>
      <w:r w:rsidR="003B65CD">
        <w:rPr>
          <w:rFonts w:ascii="Verdana" w:eastAsia="Times New Roman" w:hAnsi="Verdana" w:cs="Times New Roman"/>
          <w:color w:val="000000"/>
          <w:lang w:val="en-US"/>
        </w:rPr>
        <w:t xml:space="preserve">independent Fiscal Council </w:t>
      </w:r>
      <w:r>
        <w:rPr>
          <w:rFonts w:ascii="Verdana" w:eastAsia="Times New Roman" w:hAnsi="Verdana" w:cs="Times New Roman"/>
          <w:color w:val="000000"/>
          <w:lang w:val="en-US"/>
        </w:rPr>
        <w:t xml:space="preserve">has been </w:t>
      </w:r>
      <w:r w:rsidR="003B65CD">
        <w:rPr>
          <w:rFonts w:ascii="Verdana" w:eastAsia="Times New Roman" w:hAnsi="Verdana" w:cs="Times New Roman"/>
          <w:color w:val="000000"/>
          <w:lang w:val="en-US"/>
        </w:rPr>
        <w:t>proposed by the FRBM Review Committee</w:t>
      </w:r>
      <w:r w:rsidR="00532857">
        <w:rPr>
          <w:rFonts w:ascii="Verdana" w:eastAsia="Times New Roman" w:hAnsi="Verdana" w:cs="Times New Roman"/>
          <w:color w:val="000000"/>
          <w:lang w:val="en-US"/>
        </w:rPr>
        <w:t xml:space="preserve"> which is supposed to be appointed by the Union Finance Ministry and reporting to it</w:t>
      </w:r>
      <w:r>
        <w:rPr>
          <w:rFonts w:ascii="Verdana" w:eastAsia="Times New Roman" w:hAnsi="Verdana" w:cs="Times New Roman"/>
          <w:color w:val="000000"/>
          <w:lang w:val="en-US"/>
        </w:rPr>
        <w:t>.  However, it</w:t>
      </w:r>
      <w:r w:rsidR="003B65CD">
        <w:rPr>
          <w:rFonts w:ascii="Verdana" w:eastAsia="Times New Roman" w:hAnsi="Verdana" w:cs="Times New Roman"/>
          <w:color w:val="000000"/>
          <w:lang w:val="en-US"/>
        </w:rPr>
        <w:t xml:space="preserve"> is far less independent th</w:t>
      </w:r>
      <w:r w:rsidR="001E2157">
        <w:rPr>
          <w:rFonts w:ascii="Verdana" w:eastAsia="Times New Roman" w:hAnsi="Verdana" w:cs="Times New Roman"/>
          <w:color w:val="000000"/>
          <w:lang w:val="en-US"/>
        </w:rPr>
        <w:t>a</w:t>
      </w:r>
      <w:r w:rsidR="003B65CD">
        <w:rPr>
          <w:rFonts w:ascii="Verdana" w:eastAsia="Times New Roman" w:hAnsi="Verdana" w:cs="Times New Roman"/>
          <w:color w:val="000000"/>
          <w:lang w:val="en-US"/>
        </w:rPr>
        <w:t xml:space="preserve">n the one proposed by the Fourteenth Finance Commission.  </w:t>
      </w:r>
      <w:r w:rsidR="00926B48">
        <w:rPr>
          <w:rFonts w:ascii="Verdana" w:eastAsia="Times New Roman" w:hAnsi="Verdana" w:cs="Times New Roman"/>
          <w:color w:val="000000"/>
          <w:lang w:val="en-US"/>
        </w:rPr>
        <w:t xml:space="preserve">The FRBM </w:t>
      </w:r>
      <w:r w:rsidR="00992B76">
        <w:rPr>
          <w:rFonts w:ascii="Verdana" w:eastAsia="Times New Roman" w:hAnsi="Verdana" w:cs="Times New Roman"/>
          <w:color w:val="000000"/>
          <w:lang w:val="en-US"/>
        </w:rPr>
        <w:t>Review Committee's Fiscal Council</w:t>
      </w:r>
      <w:r w:rsidR="0066600C">
        <w:rPr>
          <w:rFonts w:ascii="Verdana" w:eastAsia="Times New Roman" w:hAnsi="Verdana" w:cs="Times New Roman"/>
          <w:color w:val="000000"/>
          <w:lang w:val="en-US"/>
        </w:rPr>
        <w:t xml:space="preserve"> will forecast key macro variables like real and nominal GDP </w:t>
      </w:r>
      <w:r w:rsidR="00805392">
        <w:rPr>
          <w:rFonts w:ascii="Verdana" w:eastAsia="Times New Roman" w:hAnsi="Verdana" w:cs="Times New Roman"/>
          <w:color w:val="000000"/>
          <w:lang w:val="en-US"/>
        </w:rPr>
        <w:t xml:space="preserve">growth, tax buoyancy, </w:t>
      </w:r>
      <w:r w:rsidR="001D792B">
        <w:rPr>
          <w:rFonts w:ascii="Verdana" w:eastAsia="Times New Roman" w:hAnsi="Verdana" w:cs="Times New Roman"/>
          <w:color w:val="000000"/>
          <w:lang w:val="en-US"/>
        </w:rPr>
        <w:t xml:space="preserve">and </w:t>
      </w:r>
      <w:r w:rsidR="00805392">
        <w:rPr>
          <w:rFonts w:ascii="Verdana" w:eastAsia="Times New Roman" w:hAnsi="Verdana" w:cs="Times New Roman"/>
          <w:color w:val="000000"/>
          <w:lang w:val="en-US"/>
        </w:rPr>
        <w:t xml:space="preserve">commodity </w:t>
      </w:r>
      <w:r w:rsidR="0066600C">
        <w:rPr>
          <w:rFonts w:ascii="Verdana" w:eastAsia="Times New Roman" w:hAnsi="Verdana" w:cs="Times New Roman"/>
          <w:color w:val="000000"/>
          <w:lang w:val="en-US"/>
        </w:rPr>
        <w:t>prices.  Sim</w:t>
      </w:r>
      <w:r w:rsidR="00AE0EF1">
        <w:rPr>
          <w:rFonts w:ascii="Verdana" w:eastAsia="Times New Roman" w:hAnsi="Verdana" w:cs="Times New Roman"/>
          <w:color w:val="000000"/>
          <w:lang w:val="en-US"/>
        </w:rPr>
        <w:t>i</w:t>
      </w:r>
      <w:r w:rsidR="0066600C">
        <w:rPr>
          <w:rFonts w:ascii="Verdana" w:eastAsia="Times New Roman" w:hAnsi="Verdana" w:cs="Times New Roman"/>
          <w:color w:val="000000"/>
          <w:lang w:val="en-US"/>
        </w:rPr>
        <w:t xml:space="preserve">larly, it will do a monitoring role, besides advising about the use of escape clause and also specify a path of return.  </w:t>
      </w:r>
      <w:r>
        <w:rPr>
          <w:rFonts w:ascii="Verdana" w:eastAsia="Times New Roman" w:hAnsi="Verdana" w:cs="Times New Roman"/>
          <w:color w:val="000000"/>
          <w:lang w:val="en-US"/>
        </w:rPr>
        <w:t xml:space="preserve">It will provide advisory functions to the Ministry.  </w:t>
      </w:r>
    </w:p>
    <w:p w:rsidR="00BC6050" w:rsidRDefault="001E2157" w:rsidP="0066600C">
      <w:pPr>
        <w:spacing w:before="240" w:after="0" w:line="480" w:lineRule="auto"/>
        <w:jc w:val="both"/>
        <w:rPr>
          <w:rFonts w:ascii="Verdana" w:eastAsia="Times New Roman" w:hAnsi="Verdana" w:cs="Times New Roman"/>
          <w:color w:val="000000"/>
          <w:lang w:val="en-US"/>
        </w:rPr>
      </w:pPr>
      <w:r>
        <w:rPr>
          <w:rFonts w:ascii="Verdana" w:eastAsia="Times New Roman" w:hAnsi="Verdana" w:cs="Times New Roman"/>
          <w:color w:val="000000"/>
          <w:lang w:val="en-US"/>
        </w:rPr>
        <w:tab/>
      </w:r>
      <w:r w:rsidR="00805392">
        <w:rPr>
          <w:rFonts w:ascii="Verdana" w:eastAsia="Times New Roman" w:hAnsi="Verdana" w:cs="Times New Roman"/>
          <w:color w:val="000000"/>
          <w:lang w:val="en-US"/>
        </w:rPr>
        <w:t xml:space="preserve">The Fiscal Council envisaged by the </w:t>
      </w:r>
      <w:r w:rsidR="003C3101">
        <w:rPr>
          <w:rFonts w:ascii="Verdana" w:eastAsia="Times New Roman" w:hAnsi="Verdana" w:cs="Times New Roman"/>
          <w:color w:val="000000"/>
          <w:lang w:val="en-US"/>
        </w:rPr>
        <w:t>XIV</w:t>
      </w:r>
      <w:r w:rsidR="00805392">
        <w:rPr>
          <w:rFonts w:ascii="Verdana" w:eastAsia="Times New Roman" w:hAnsi="Verdana" w:cs="Times New Roman"/>
          <w:color w:val="000000"/>
          <w:lang w:val="en-US"/>
        </w:rPr>
        <w:t xml:space="preserve"> Finance Commission is statutory </w:t>
      </w:r>
      <w:r w:rsidR="000108EC">
        <w:rPr>
          <w:rFonts w:ascii="Verdana" w:eastAsia="Times New Roman" w:hAnsi="Verdana" w:cs="Times New Roman"/>
          <w:color w:val="000000"/>
          <w:lang w:val="en-US"/>
        </w:rPr>
        <w:t xml:space="preserve">by an amendment to the FRBM Act, similar to the one that enables the ex-post assessment by the </w:t>
      </w:r>
      <w:proofErr w:type="spellStart"/>
      <w:r w:rsidR="000108EC">
        <w:rPr>
          <w:rFonts w:ascii="Verdana" w:eastAsia="Times New Roman" w:hAnsi="Verdana" w:cs="Times New Roman"/>
          <w:color w:val="000000"/>
          <w:lang w:val="en-US"/>
        </w:rPr>
        <w:t>C&amp;AG</w:t>
      </w:r>
      <w:proofErr w:type="spellEnd"/>
      <w:r w:rsidR="000108EC">
        <w:rPr>
          <w:rFonts w:ascii="Verdana" w:eastAsia="Times New Roman" w:hAnsi="Verdana" w:cs="Times New Roman"/>
          <w:color w:val="000000"/>
          <w:lang w:val="en-US"/>
        </w:rPr>
        <w:t xml:space="preserve">.  </w:t>
      </w:r>
      <w:r w:rsidR="00F70D2D">
        <w:rPr>
          <w:rFonts w:ascii="Verdana" w:eastAsia="Times New Roman" w:hAnsi="Verdana" w:cs="Times New Roman"/>
          <w:color w:val="000000"/>
          <w:lang w:val="en-US"/>
        </w:rPr>
        <w:t xml:space="preserve"> </w:t>
      </w:r>
      <w:r w:rsidR="009C235E">
        <w:rPr>
          <w:rFonts w:ascii="Verdana" w:eastAsia="Times New Roman" w:hAnsi="Verdana" w:cs="Times New Roman"/>
          <w:color w:val="000000"/>
          <w:lang w:val="en-US"/>
        </w:rPr>
        <w:t>The mission of the fiscal council would be to undertake ex-ante assessment of the fiscal policy implications of budget proposals and their cons</w:t>
      </w:r>
      <w:r w:rsidR="00B85279">
        <w:rPr>
          <w:rFonts w:ascii="Verdana" w:eastAsia="Times New Roman" w:hAnsi="Verdana" w:cs="Times New Roman"/>
          <w:color w:val="000000"/>
          <w:lang w:val="en-US"/>
        </w:rPr>
        <w:t>istency with fiscal policy and r</w:t>
      </w:r>
      <w:r w:rsidR="009C235E">
        <w:rPr>
          <w:rFonts w:ascii="Verdana" w:eastAsia="Times New Roman" w:hAnsi="Verdana" w:cs="Times New Roman"/>
          <w:color w:val="000000"/>
          <w:lang w:val="en-US"/>
        </w:rPr>
        <w:t xml:space="preserve">ules.  </w:t>
      </w:r>
      <w:r w:rsidR="00F2310C">
        <w:rPr>
          <w:rFonts w:ascii="Verdana" w:eastAsia="Times New Roman" w:hAnsi="Verdana" w:cs="Times New Roman"/>
          <w:color w:val="000000"/>
          <w:lang w:val="en-US"/>
        </w:rPr>
        <w:t>The assessment made by the fiscal council is meant to be tabled in both Houses of Parliament.</w:t>
      </w:r>
    </w:p>
    <w:p w:rsidR="00FF7F41" w:rsidRPr="00D4664B" w:rsidRDefault="00D4664B" w:rsidP="00D4664B">
      <w:pPr>
        <w:spacing w:before="240" w:after="0" w:line="480" w:lineRule="auto"/>
        <w:jc w:val="both"/>
        <w:textAlignment w:val="baseline"/>
        <w:rPr>
          <w:rFonts w:ascii="Verdana" w:eastAsia="Times New Roman" w:hAnsi="Verdana" w:cs="Times New Roman"/>
          <w:b/>
          <w:bCs/>
          <w:color w:val="000000"/>
          <w:u w:val="single"/>
          <w:lang w:val="en-US"/>
        </w:rPr>
      </w:pPr>
      <w:r w:rsidRPr="00D4664B">
        <w:rPr>
          <w:rFonts w:ascii="Verdana" w:eastAsia="Times New Roman" w:hAnsi="Verdana" w:cs="Times New Roman"/>
          <w:b/>
          <w:bCs/>
          <w:color w:val="000000"/>
          <w:u w:val="single"/>
          <w:lang w:val="en-US"/>
        </w:rPr>
        <w:t xml:space="preserve">Asymmetric </w:t>
      </w:r>
      <w:r w:rsidR="00B85279">
        <w:rPr>
          <w:rFonts w:ascii="Verdana" w:eastAsia="Times New Roman" w:hAnsi="Verdana" w:cs="Times New Roman"/>
          <w:b/>
          <w:bCs/>
          <w:color w:val="000000"/>
          <w:u w:val="single"/>
          <w:lang w:val="en-US"/>
        </w:rPr>
        <w:t>I</w:t>
      </w:r>
      <w:r w:rsidR="00FF7F41" w:rsidRPr="00D4664B">
        <w:rPr>
          <w:rFonts w:ascii="Verdana" w:eastAsia="Times New Roman" w:hAnsi="Verdana" w:cs="Times New Roman"/>
          <w:b/>
          <w:bCs/>
          <w:color w:val="000000"/>
          <w:u w:val="single"/>
          <w:lang w:val="en-US"/>
        </w:rPr>
        <w:t>mpact of the implementation of GST</w:t>
      </w:r>
      <w:r>
        <w:rPr>
          <w:rFonts w:ascii="Verdana" w:eastAsia="Times New Roman" w:hAnsi="Verdana" w:cs="Times New Roman"/>
          <w:b/>
          <w:bCs/>
          <w:color w:val="000000"/>
          <w:u w:val="single"/>
          <w:lang w:val="en-US"/>
        </w:rPr>
        <w:t>:</w:t>
      </w:r>
      <w:r>
        <w:rPr>
          <w:rFonts w:ascii="Verdana" w:eastAsia="Times New Roman" w:hAnsi="Verdana" w:cs="Times New Roman"/>
          <w:bCs/>
          <w:color w:val="000000"/>
          <w:lang w:val="en-US"/>
        </w:rPr>
        <w:t xml:space="preserve"> </w:t>
      </w:r>
      <w:r w:rsidR="00FF7F41" w:rsidRPr="00D4664B">
        <w:rPr>
          <w:rFonts w:ascii="Verdana" w:eastAsia="Times New Roman" w:hAnsi="Verdana" w:cs="Times New Roman"/>
          <w:b/>
          <w:bCs/>
          <w:color w:val="000000"/>
          <w:u w:val="single"/>
          <w:lang w:val="en-US"/>
        </w:rPr>
        <w:t xml:space="preserve"> </w:t>
      </w:r>
    </w:p>
    <w:p w:rsidR="00317E4C" w:rsidRPr="00FF7F41" w:rsidRDefault="00317E4C" w:rsidP="00493F4A">
      <w:pPr>
        <w:spacing w:after="0" w:line="480" w:lineRule="auto"/>
        <w:ind w:firstLine="720"/>
        <w:jc w:val="both"/>
        <w:rPr>
          <w:rFonts w:ascii="Times New Roman" w:eastAsia="Times New Roman" w:hAnsi="Times New Roman" w:cs="Times New Roman"/>
          <w:sz w:val="24"/>
          <w:szCs w:val="24"/>
          <w:lang w:val="en-US"/>
        </w:rPr>
      </w:pPr>
      <w:r>
        <w:rPr>
          <w:rFonts w:ascii="Verdana" w:eastAsia="Times New Roman" w:hAnsi="Verdana" w:cs="Times New Roman"/>
          <w:color w:val="000000"/>
          <w:lang w:val="en-US"/>
        </w:rPr>
        <w:t>The i</w:t>
      </w:r>
      <w:r w:rsidR="00692570">
        <w:rPr>
          <w:rFonts w:ascii="Verdana" w:eastAsia="Times New Roman" w:hAnsi="Verdana" w:cs="Times New Roman"/>
          <w:color w:val="000000"/>
          <w:lang w:val="en-US"/>
        </w:rPr>
        <w:t>mplementation</w:t>
      </w:r>
      <w:r>
        <w:rPr>
          <w:rFonts w:ascii="Verdana" w:eastAsia="Times New Roman" w:hAnsi="Verdana" w:cs="Times New Roman"/>
          <w:color w:val="000000"/>
          <w:lang w:val="en-US"/>
        </w:rPr>
        <w:t xml:space="preserve"> of GST is undoubtedly a historic step, but Stat</w:t>
      </w:r>
      <w:r w:rsidR="002B3400">
        <w:rPr>
          <w:rFonts w:ascii="Verdana" w:eastAsia="Times New Roman" w:hAnsi="Verdana" w:cs="Times New Roman"/>
          <w:color w:val="000000"/>
          <w:lang w:val="en-US"/>
        </w:rPr>
        <w:t>e</w:t>
      </w:r>
      <w:r>
        <w:rPr>
          <w:rFonts w:ascii="Verdana" w:eastAsia="Times New Roman" w:hAnsi="Verdana" w:cs="Times New Roman"/>
          <w:color w:val="000000"/>
          <w:lang w:val="en-US"/>
        </w:rPr>
        <w:t xml:space="preserve">s seem to be disadvantaged in the design and in the implementation.  </w:t>
      </w:r>
    </w:p>
    <w:p w:rsidR="00FF7F41" w:rsidRPr="00FF7F41" w:rsidRDefault="004E2608" w:rsidP="00F24B93">
      <w:pPr>
        <w:spacing w:before="240" w:after="0" w:line="480" w:lineRule="auto"/>
        <w:ind w:firstLine="720"/>
        <w:jc w:val="both"/>
        <w:textAlignment w:val="baseline"/>
        <w:rPr>
          <w:rFonts w:ascii="Verdana" w:eastAsia="Times New Roman" w:hAnsi="Verdana" w:cs="Times New Roman"/>
          <w:color w:val="000000"/>
          <w:lang w:val="en-US"/>
        </w:rPr>
      </w:pPr>
      <w:r>
        <w:rPr>
          <w:rFonts w:ascii="Verdana" w:eastAsia="Times New Roman" w:hAnsi="Verdana" w:cs="Times New Roman"/>
          <w:color w:val="000000"/>
          <w:lang w:val="en-US"/>
        </w:rPr>
        <w:t>Firstly, i</w:t>
      </w:r>
      <w:r w:rsidR="00FF7F41" w:rsidRPr="00FF7F41">
        <w:rPr>
          <w:rFonts w:ascii="Verdana" w:eastAsia="Times New Roman" w:hAnsi="Verdana" w:cs="Times New Roman"/>
          <w:color w:val="000000"/>
          <w:lang w:val="en-US"/>
        </w:rPr>
        <w:t>f we consider the pre-GST tax structure, VAT/Sales Tax constituted more than two-third</w:t>
      </w:r>
      <w:r w:rsidR="00692570">
        <w:rPr>
          <w:rFonts w:ascii="Verdana" w:eastAsia="Times New Roman" w:hAnsi="Verdana" w:cs="Times New Roman"/>
          <w:color w:val="000000"/>
          <w:lang w:val="en-US"/>
        </w:rPr>
        <w:t>s</w:t>
      </w:r>
      <w:r w:rsidR="00FF7F41" w:rsidRPr="00FF7F41">
        <w:rPr>
          <w:rFonts w:ascii="Verdana" w:eastAsia="Times New Roman" w:hAnsi="Verdana" w:cs="Times New Roman"/>
          <w:color w:val="000000"/>
          <w:lang w:val="en-US"/>
        </w:rPr>
        <w:t xml:space="preserve"> of State revenues. While for the Union government, the share of indirect taxes was around 50 per cent of the total tax revenue. Thus, by giving </w:t>
      </w:r>
      <w:r w:rsidR="00FF7F41" w:rsidRPr="00FF7F41">
        <w:rPr>
          <w:rFonts w:ascii="Verdana" w:eastAsia="Times New Roman" w:hAnsi="Verdana" w:cs="Times New Roman"/>
          <w:color w:val="000000"/>
          <w:lang w:val="en-US"/>
        </w:rPr>
        <w:lastRenderedPageBreak/>
        <w:t xml:space="preserve">up independence of tax power, relative loss of fiscal autonomy </w:t>
      </w:r>
      <w:r w:rsidR="001C1BDA">
        <w:rPr>
          <w:rFonts w:ascii="Verdana" w:eastAsia="Times New Roman" w:hAnsi="Verdana" w:cs="Times New Roman"/>
          <w:color w:val="000000"/>
          <w:lang w:val="en-US"/>
        </w:rPr>
        <w:t xml:space="preserve">for </w:t>
      </w:r>
      <w:r w:rsidR="00FF7F41" w:rsidRPr="00FF7F41">
        <w:rPr>
          <w:rFonts w:ascii="Verdana" w:eastAsia="Times New Roman" w:hAnsi="Verdana" w:cs="Times New Roman"/>
          <w:color w:val="000000"/>
          <w:lang w:val="en-US"/>
        </w:rPr>
        <w:t xml:space="preserve">States is </w:t>
      </w:r>
      <w:r w:rsidR="001C1BDA">
        <w:rPr>
          <w:rFonts w:ascii="Verdana" w:eastAsia="Times New Roman" w:hAnsi="Verdana" w:cs="Times New Roman"/>
          <w:color w:val="000000"/>
          <w:lang w:val="en-US"/>
        </w:rPr>
        <w:t xml:space="preserve">greater than it is for the </w:t>
      </w:r>
      <w:r w:rsidR="00FF7F41" w:rsidRPr="00FF7F41">
        <w:rPr>
          <w:rFonts w:ascii="Verdana" w:eastAsia="Times New Roman" w:hAnsi="Verdana" w:cs="Times New Roman"/>
          <w:color w:val="000000"/>
          <w:lang w:val="en-US"/>
        </w:rPr>
        <w:t xml:space="preserve">Union. </w:t>
      </w:r>
    </w:p>
    <w:p w:rsidR="00FF7F41" w:rsidRPr="00FF7F41" w:rsidRDefault="004E2608" w:rsidP="00F24B93">
      <w:pPr>
        <w:spacing w:before="240" w:after="0" w:line="480" w:lineRule="auto"/>
        <w:ind w:firstLine="720"/>
        <w:jc w:val="both"/>
        <w:textAlignment w:val="baseline"/>
        <w:rPr>
          <w:rFonts w:ascii="Verdana" w:eastAsia="Times New Roman" w:hAnsi="Verdana" w:cs="Times New Roman"/>
          <w:color w:val="000000"/>
          <w:lang w:val="en-US"/>
        </w:rPr>
      </w:pPr>
      <w:r>
        <w:rPr>
          <w:rFonts w:ascii="Verdana" w:eastAsia="Times New Roman" w:hAnsi="Verdana" w:cs="Times New Roman"/>
          <w:color w:val="000000"/>
          <w:lang w:val="en-US"/>
        </w:rPr>
        <w:t>Secondly, t</w:t>
      </w:r>
      <w:r w:rsidR="00FF7F41" w:rsidRPr="00FF7F41">
        <w:rPr>
          <w:rFonts w:ascii="Verdana" w:eastAsia="Times New Roman" w:hAnsi="Verdana" w:cs="Times New Roman"/>
          <w:color w:val="000000"/>
          <w:lang w:val="en-US"/>
        </w:rPr>
        <w:t xml:space="preserve">he GST tax base has been apportioned </w:t>
      </w:r>
      <w:proofErr w:type="gramStart"/>
      <w:r w:rsidR="00FF7F41" w:rsidRPr="00FF7F41">
        <w:rPr>
          <w:rFonts w:ascii="Verdana" w:eastAsia="Times New Roman" w:hAnsi="Verdana" w:cs="Times New Roman"/>
          <w:color w:val="000000"/>
          <w:lang w:val="en-US"/>
        </w:rPr>
        <w:t>on a 50:50 basis between Union and States</w:t>
      </w:r>
      <w:proofErr w:type="gramEnd"/>
      <w:r w:rsidR="00FF7F41" w:rsidRPr="00FF7F41">
        <w:rPr>
          <w:rFonts w:ascii="Verdana" w:eastAsia="Times New Roman" w:hAnsi="Verdana" w:cs="Times New Roman"/>
          <w:color w:val="000000"/>
          <w:lang w:val="en-US"/>
        </w:rPr>
        <w:t>. However, if we review pre-GST discussions/debates, we observe that various Committees, task force</w:t>
      </w:r>
      <w:r w:rsidR="003D0696">
        <w:rPr>
          <w:rFonts w:ascii="Verdana" w:eastAsia="Times New Roman" w:hAnsi="Verdana" w:cs="Times New Roman"/>
          <w:color w:val="000000"/>
          <w:lang w:val="en-US"/>
        </w:rPr>
        <w:t>s</w:t>
      </w:r>
      <w:r w:rsidR="00FF7F41" w:rsidRPr="00FF7F41">
        <w:rPr>
          <w:rFonts w:ascii="Verdana" w:eastAsia="Times New Roman" w:hAnsi="Verdana" w:cs="Times New Roman"/>
          <w:color w:val="000000"/>
          <w:lang w:val="en-US"/>
        </w:rPr>
        <w:t xml:space="preserve"> and independent research studies have shown and convincingly established that States’ GST rate should be higher. The GST task force appointed by the Thirteenth Finance Commission suggested a 12 per cent GST rates-7 percent as </w:t>
      </w:r>
      <w:proofErr w:type="spellStart"/>
      <w:r w:rsidR="00FF7F41" w:rsidRPr="00FF7F41">
        <w:rPr>
          <w:rFonts w:ascii="Verdana" w:eastAsia="Times New Roman" w:hAnsi="Verdana" w:cs="Times New Roman"/>
          <w:color w:val="000000"/>
          <w:lang w:val="en-US"/>
        </w:rPr>
        <w:t>SGST</w:t>
      </w:r>
      <w:proofErr w:type="spellEnd"/>
      <w:r w:rsidR="00FF7F41" w:rsidRPr="00FF7F41">
        <w:rPr>
          <w:rFonts w:ascii="Verdana" w:eastAsia="Times New Roman" w:hAnsi="Verdana" w:cs="Times New Roman"/>
          <w:color w:val="000000"/>
          <w:lang w:val="en-US"/>
        </w:rPr>
        <w:t xml:space="preserve"> and 5 per cent as </w:t>
      </w:r>
      <w:proofErr w:type="spellStart"/>
      <w:r w:rsidR="00FF7F41" w:rsidRPr="00FF7F41">
        <w:rPr>
          <w:rFonts w:ascii="Verdana" w:eastAsia="Times New Roman" w:hAnsi="Verdana" w:cs="Times New Roman"/>
          <w:color w:val="000000"/>
          <w:lang w:val="en-US"/>
        </w:rPr>
        <w:t>CGST</w:t>
      </w:r>
      <w:proofErr w:type="spellEnd"/>
      <w:r w:rsidR="00FF7F41" w:rsidRPr="00FF7F41">
        <w:rPr>
          <w:rFonts w:ascii="Verdana" w:eastAsia="Times New Roman" w:hAnsi="Verdana" w:cs="Times New Roman"/>
          <w:color w:val="000000"/>
          <w:lang w:val="en-US"/>
        </w:rPr>
        <w:t xml:space="preserve">. The Committee on </w:t>
      </w:r>
      <w:proofErr w:type="spellStart"/>
      <w:r w:rsidR="00FF7F41" w:rsidRPr="00FF7F41">
        <w:rPr>
          <w:rFonts w:ascii="Verdana" w:eastAsia="Times New Roman" w:hAnsi="Verdana" w:cs="Times New Roman"/>
          <w:color w:val="000000"/>
          <w:lang w:val="en-US"/>
        </w:rPr>
        <w:t>RNR</w:t>
      </w:r>
      <w:proofErr w:type="spellEnd"/>
      <w:r w:rsidR="00FF7F41" w:rsidRPr="00FF7F41">
        <w:rPr>
          <w:rFonts w:ascii="Verdana" w:eastAsia="Times New Roman" w:hAnsi="Verdana" w:cs="Times New Roman"/>
          <w:color w:val="000000"/>
          <w:lang w:val="en-US"/>
        </w:rPr>
        <w:t xml:space="preserve"> chaired by the then Chief Economic Advisor, </w:t>
      </w:r>
      <w:proofErr w:type="spellStart"/>
      <w:r w:rsidR="00FF7F41" w:rsidRPr="00FF7F41">
        <w:rPr>
          <w:rFonts w:ascii="Verdana" w:eastAsia="Times New Roman" w:hAnsi="Verdana" w:cs="Times New Roman"/>
          <w:color w:val="000000"/>
          <w:lang w:val="en-US"/>
        </w:rPr>
        <w:t>Arvind</w:t>
      </w:r>
      <w:proofErr w:type="spellEnd"/>
      <w:r w:rsidR="00FF7F41" w:rsidRPr="00FF7F41">
        <w:rPr>
          <w:rFonts w:ascii="Verdana" w:eastAsia="Times New Roman" w:hAnsi="Verdana" w:cs="Times New Roman"/>
          <w:color w:val="000000"/>
          <w:lang w:val="en-US"/>
        </w:rPr>
        <w:t xml:space="preserve"> Subramanian also recommend</w:t>
      </w:r>
      <w:r w:rsidR="00F05E86">
        <w:rPr>
          <w:rFonts w:ascii="Verdana" w:eastAsia="Times New Roman" w:hAnsi="Verdana" w:cs="Times New Roman"/>
          <w:color w:val="000000"/>
          <w:lang w:val="en-US"/>
        </w:rPr>
        <w:t>ed</w:t>
      </w:r>
      <w:r w:rsidR="00FF7F41" w:rsidRPr="00FF7F41">
        <w:rPr>
          <w:rFonts w:ascii="Verdana" w:eastAsia="Times New Roman" w:hAnsi="Verdana" w:cs="Times New Roman"/>
          <w:color w:val="000000"/>
          <w:lang w:val="en-US"/>
        </w:rPr>
        <w:t xml:space="preserve"> </w:t>
      </w:r>
      <w:r w:rsidR="001C1BDA">
        <w:rPr>
          <w:rFonts w:ascii="Verdana" w:eastAsia="Times New Roman" w:hAnsi="Verdana" w:cs="Times New Roman"/>
          <w:color w:val="000000"/>
          <w:lang w:val="en-US"/>
        </w:rPr>
        <w:t xml:space="preserve">a </w:t>
      </w:r>
      <w:r w:rsidR="00FF7F41" w:rsidRPr="00FF7F41">
        <w:rPr>
          <w:rFonts w:ascii="Verdana" w:eastAsia="Times New Roman" w:hAnsi="Verdana" w:cs="Times New Roman"/>
          <w:color w:val="000000"/>
          <w:lang w:val="en-US"/>
        </w:rPr>
        <w:t xml:space="preserve">higher rate of GST for States. This is due to the fact that States’ tax base subsumed under GST is more than that of Union. </w:t>
      </w:r>
      <w:r w:rsidR="003D0696">
        <w:rPr>
          <w:rFonts w:ascii="Verdana" w:eastAsia="Times New Roman" w:hAnsi="Verdana" w:cs="Times New Roman"/>
          <w:color w:val="000000"/>
          <w:lang w:val="en-US"/>
        </w:rPr>
        <w:t xml:space="preserve"> D</w:t>
      </w:r>
      <w:r w:rsidR="00FF7F41" w:rsidRPr="00FF7F41">
        <w:rPr>
          <w:rFonts w:ascii="Verdana" w:eastAsia="Times New Roman" w:hAnsi="Verdana" w:cs="Times New Roman"/>
          <w:color w:val="000000"/>
          <w:lang w:val="en-US"/>
        </w:rPr>
        <w:t xml:space="preserve">ividing the tax base </w:t>
      </w:r>
      <w:proofErr w:type="gramStart"/>
      <w:r w:rsidR="00FF7F41" w:rsidRPr="00FF7F41">
        <w:rPr>
          <w:rFonts w:ascii="Verdana" w:eastAsia="Times New Roman" w:hAnsi="Verdana" w:cs="Times New Roman"/>
          <w:color w:val="000000"/>
          <w:lang w:val="en-US"/>
        </w:rPr>
        <w:t xml:space="preserve">on </w:t>
      </w:r>
      <w:r w:rsidR="00FD0A97">
        <w:rPr>
          <w:rFonts w:ascii="Verdana" w:eastAsia="Times New Roman" w:hAnsi="Verdana" w:cs="Times New Roman"/>
          <w:color w:val="000000"/>
          <w:lang w:val="en-US"/>
        </w:rPr>
        <w:t>a 50:50 basis</w:t>
      </w:r>
      <w:proofErr w:type="gramEnd"/>
      <w:r w:rsidR="00FF7F41" w:rsidRPr="00FF7F41">
        <w:rPr>
          <w:rFonts w:ascii="Verdana" w:eastAsia="Times New Roman" w:hAnsi="Verdana" w:cs="Times New Roman"/>
          <w:color w:val="000000"/>
          <w:lang w:val="en-US"/>
        </w:rPr>
        <w:t xml:space="preserve"> resulted in accentuation of existing vertical fiscal imbalance between Union and States. </w:t>
      </w:r>
    </w:p>
    <w:p w:rsidR="00FF7F41" w:rsidRPr="00FF7F41" w:rsidRDefault="004E2608" w:rsidP="00F24B93">
      <w:pPr>
        <w:spacing w:before="240" w:after="0" w:line="480" w:lineRule="auto"/>
        <w:ind w:firstLine="720"/>
        <w:jc w:val="both"/>
        <w:textAlignment w:val="baseline"/>
        <w:rPr>
          <w:rFonts w:ascii="Verdana" w:eastAsia="Times New Roman" w:hAnsi="Verdana" w:cs="Times New Roman"/>
          <w:color w:val="000000"/>
          <w:lang w:val="en-US"/>
        </w:rPr>
      </w:pPr>
      <w:r>
        <w:rPr>
          <w:rFonts w:ascii="Verdana" w:eastAsia="Times New Roman" w:hAnsi="Verdana" w:cs="Times New Roman"/>
          <w:color w:val="000000"/>
          <w:lang w:val="en-US"/>
        </w:rPr>
        <w:t>Thirdly, d</w:t>
      </w:r>
      <w:r w:rsidR="00FF7F41" w:rsidRPr="00FF7F41">
        <w:rPr>
          <w:rFonts w:ascii="Verdana" w:eastAsia="Times New Roman" w:hAnsi="Verdana" w:cs="Times New Roman"/>
          <w:color w:val="000000"/>
          <w:lang w:val="en-US"/>
        </w:rPr>
        <w:t>ecisions in GST Council have so far been based on consensus between Union and States. In the absence of consensus, voting mechanism will be used to arrive at a decision in the GST Council. In t</w:t>
      </w:r>
      <w:r w:rsidR="003D0696">
        <w:rPr>
          <w:rFonts w:ascii="Verdana" w:eastAsia="Times New Roman" w:hAnsi="Verdana" w:cs="Times New Roman"/>
          <w:color w:val="000000"/>
          <w:lang w:val="en-US"/>
        </w:rPr>
        <w:t>he event of voting, as per the C</w:t>
      </w:r>
      <w:r w:rsidR="00FF7F41" w:rsidRPr="00FF7F41">
        <w:rPr>
          <w:rFonts w:ascii="Verdana" w:eastAsia="Times New Roman" w:hAnsi="Verdana" w:cs="Times New Roman"/>
          <w:color w:val="000000"/>
          <w:lang w:val="en-US"/>
        </w:rPr>
        <w:t>onstitutional amendments, 3/4</w:t>
      </w:r>
      <w:r w:rsidR="00FF7F41" w:rsidRPr="00FF7F41">
        <w:rPr>
          <w:rFonts w:ascii="Verdana" w:eastAsia="Times New Roman" w:hAnsi="Verdana" w:cs="Times New Roman"/>
          <w:color w:val="000000"/>
          <w:sz w:val="13"/>
          <w:szCs w:val="13"/>
          <w:vertAlign w:val="superscript"/>
          <w:lang w:val="en-US"/>
        </w:rPr>
        <w:t>th</w:t>
      </w:r>
      <w:r w:rsidR="00FF7F41" w:rsidRPr="00FF7F41">
        <w:rPr>
          <w:rFonts w:ascii="Verdana" w:eastAsia="Times New Roman" w:hAnsi="Verdana" w:cs="Times New Roman"/>
          <w:color w:val="000000"/>
          <w:lang w:val="en-US"/>
        </w:rPr>
        <w:t xml:space="preserve"> majority is required to arrive at a decision in the Council and the Union government has 1/3</w:t>
      </w:r>
      <w:r w:rsidR="00FF7F41" w:rsidRPr="00FF7F41">
        <w:rPr>
          <w:rFonts w:ascii="Verdana" w:eastAsia="Times New Roman" w:hAnsi="Verdana" w:cs="Times New Roman"/>
          <w:color w:val="000000"/>
          <w:sz w:val="13"/>
          <w:szCs w:val="13"/>
          <w:vertAlign w:val="superscript"/>
          <w:lang w:val="en-US"/>
        </w:rPr>
        <w:t>rd</w:t>
      </w:r>
      <w:r w:rsidR="00FF7F41" w:rsidRPr="00FF7F41">
        <w:rPr>
          <w:rFonts w:ascii="Verdana" w:eastAsia="Times New Roman" w:hAnsi="Verdana" w:cs="Times New Roman"/>
          <w:color w:val="000000"/>
          <w:lang w:val="en-US"/>
        </w:rPr>
        <w:t xml:space="preserve"> of the vote share. In other words, the Union government has an effective veto power in the Council. This also points to the fact that relative bargain</w:t>
      </w:r>
      <w:r w:rsidR="003D0696">
        <w:rPr>
          <w:rFonts w:ascii="Verdana" w:eastAsia="Times New Roman" w:hAnsi="Verdana" w:cs="Times New Roman"/>
          <w:color w:val="000000"/>
          <w:lang w:val="en-US"/>
        </w:rPr>
        <w:t>ing power of States in the GST C</w:t>
      </w:r>
      <w:r w:rsidR="00FF7F41" w:rsidRPr="00FF7F41">
        <w:rPr>
          <w:rFonts w:ascii="Verdana" w:eastAsia="Times New Roman" w:hAnsi="Verdana" w:cs="Times New Roman"/>
          <w:color w:val="000000"/>
          <w:lang w:val="en-US"/>
        </w:rPr>
        <w:t xml:space="preserve">ouncil is much less than </w:t>
      </w:r>
      <w:r w:rsidR="001C1BDA">
        <w:rPr>
          <w:rFonts w:ascii="Verdana" w:eastAsia="Times New Roman" w:hAnsi="Verdana" w:cs="Times New Roman"/>
          <w:color w:val="000000"/>
          <w:lang w:val="en-US"/>
        </w:rPr>
        <w:t xml:space="preserve">that of the </w:t>
      </w:r>
      <w:r w:rsidR="00FF7F41" w:rsidRPr="00FF7F41">
        <w:rPr>
          <w:rFonts w:ascii="Verdana" w:eastAsia="Times New Roman" w:hAnsi="Verdana" w:cs="Times New Roman"/>
          <w:color w:val="000000"/>
          <w:lang w:val="en-US"/>
        </w:rPr>
        <w:t>Union government.       </w:t>
      </w:r>
    </w:p>
    <w:p w:rsidR="00A605B9" w:rsidRDefault="00FF7F41" w:rsidP="005673A5">
      <w:pPr>
        <w:spacing w:before="240" w:after="0" w:line="480" w:lineRule="auto"/>
        <w:ind w:firstLine="720"/>
        <w:jc w:val="both"/>
        <w:rPr>
          <w:rFonts w:ascii="Verdana" w:eastAsia="Times New Roman" w:hAnsi="Verdana" w:cs="Times New Roman"/>
          <w:color w:val="000000"/>
          <w:lang w:val="en-US"/>
        </w:rPr>
      </w:pPr>
      <w:r w:rsidRPr="00FF7F41">
        <w:rPr>
          <w:rFonts w:ascii="Verdana" w:eastAsia="Times New Roman" w:hAnsi="Verdana" w:cs="Times New Roman"/>
          <w:color w:val="000000"/>
          <w:lang w:val="en-US"/>
        </w:rPr>
        <w:t>These three structural issues only highlight that States, i</w:t>
      </w:r>
      <w:r w:rsidR="00C75727">
        <w:rPr>
          <w:rFonts w:ascii="Verdana" w:eastAsia="Times New Roman" w:hAnsi="Verdana" w:cs="Times New Roman"/>
          <w:color w:val="000000"/>
          <w:lang w:val="en-US"/>
        </w:rPr>
        <w:t>n the present GST framework, have</w:t>
      </w:r>
      <w:r w:rsidRPr="00FF7F41">
        <w:rPr>
          <w:rFonts w:ascii="Verdana" w:eastAsia="Times New Roman" w:hAnsi="Verdana" w:cs="Times New Roman"/>
          <w:color w:val="000000"/>
          <w:lang w:val="en-US"/>
        </w:rPr>
        <w:t xml:space="preserve"> agreed to an asymmetric bargain as far as loss of fiscal autonomy </w:t>
      </w:r>
      <w:r w:rsidRPr="00FF7F41">
        <w:rPr>
          <w:rFonts w:ascii="Verdana" w:eastAsia="Times New Roman" w:hAnsi="Verdana" w:cs="Times New Roman"/>
          <w:color w:val="000000"/>
          <w:lang w:val="en-US"/>
        </w:rPr>
        <w:lastRenderedPageBreak/>
        <w:t xml:space="preserve">is concerned. Though the resource envelope of States is protected for 5 years with </w:t>
      </w:r>
      <w:proofErr w:type="gramStart"/>
      <w:r w:rsidRPr="00FF7F41">
        <w:rPr>
          <w:rFonts w:ascii="Verdana" w:eastAsia="Times New Roman" w:hAnsi="Verdana" w:cs="Times New Roman"/>
          <w:color w:val="000000"/>
          <w:lang w:val="en-US"/>
        </w:rPr>
        <w:t>a GST</w:t>
      </w:r>
      <w:proofErr w:type="gramEnd"/>
      <w:r w:rsidRPr="00FF7F41">
        <w:rPr>
          <w:rFonts w:ascii="Verdana" w:eastAsia="Times New Roman" w:hAnsi="Verdana" w:cs="Times New Roman"/>
          <w:color w:val="000000"/>
          <w:lang w:val="en-US"/>
        </w:rPr>
        <w:t xml:space="preserve"> compensation, one is unsure </w:t>
      </w:r>
      <w:r w:rsidR="001C1BDA">
        <w:rPr>
          <w:rFonts w:ascii="Verdana" w:eastAsia="Times New Roman" w:hAnsi="Verdana" w:cs="Times New Roman"/>
          <w:color w:val="000000"/>
          <w:lang w:val="en-US"/>
        </w:rPr>
        <w:t xml:space="preserve">as to </w:t>
      </w:r>
      <w:r w:rsidRPr="00FF7F41">
        <w:rPr>
          <w:rFonts w:ascii="Verdana" w:eastAsia="Times New Roman" w:hAnsi="Verdana" w:cs="Times New Roman"/>
          <w:color w:val="000000"/>
          <w:lang w:val="en-US"/>
        </w:rPr>
        <w:t>how the GST would evolve in the medium term and impact State revenue and fiscal autonomy.  </w:t>
      </w:r>
    </w:p>
    <w:p w:rsidR="00896557" w:rsidRPr="00B90DC2" w:rsidRDefault="00A605B9" w:rsidP="00B90DC2">
      <w:pPr>
        <w:spacing w:before="240" w:after="0" w:line="480" w:lineRule="auto"/>
        <w:ind w:firstLine="720"/>
        <w:jc w:val="both"/>
        <w:rPr>
          <w:rFonts w:ascii="Times New Roman" w:eastAsia="Times New Roman" w:hAnsi="Times New Roman" w:cs="Times New Roman"/>
          <w:sz w:val="24"/>
          <w:szCs w:val="24"/>
          <w:lang w:val="en-US"/>
        </w:rPr>
      </w:pPr>
      <w:r>
        <w:rPr>
          <w:rFonts w:ascii="Verdana" w:eastAsia="Times New Roman" w:hAnsi="Verdana" w:cs="Times New Roman"/>
          <w:color w:val="000000"/>
          <w:lang w:val="en-US"/>
        </w:rPr>
        <w:t xml:space="preserve">The implementation of GST so far does not lend comfort to the States, in some respects.  This </w:t>
      </w:r>
      <w:r w:rsidR="003F4A97">
        <w:rPr>
          <w:rFonts w:ascii="Verdana" w:eastAsia="Times New Roman" w:hAnsi="Verdana" w:cs="Times New Roman"/>
          <w:color w:val="000000"/>
          <w:lang w:val="en-US"/>
        </w:rPr>
        <w:t xml:space="preserve">is </w:t>
      </w:r>
      <w:r>
        <w:rPr>
          <w:rFonts w:ascii="Verdana" w:eastAsia="Times New Roman" w:hAnsi="Verdana" w:cs="Times New Roman"/>
          <w:color w:val="000000"/>
          <w:lang w:val="en-US"/>
        </w:rPr>
        <w:t xml:space="preserve">best summed up </w:t>
      </w:r>
      <w:r w:rsidR="00B8293D">
        <w:rPr>
          <w:rFonts w:ascii="Verdana" w:eastAsia="Times New Roman" w:hAnsi="Verdana" w:cs="Times New Roman"/>
          <w:color w:val="000000"/>
          <w:lang w:val="en-US"/>
        </w:rPr>
        <w:t xml:space="preserve">in </w:t>
      </w:r>
      <w:r w:rsidR="003F4A97">
        <w:rPr>
          <w:rFonts w:ascii="Verdana" w:eastAsia="Times New Roman" w:hAnsi="Verdana" w:cs="Times New Roman"/>
          <w:color w:val="000000"/>
          <w:lang w:val="en-US"/>
        </w:rPr>
        <w:t xml:space="preserve">an article by a public policy analyst, Mr. V. </w:t>
      </w:r>
      <w:proofErr w:type="spellStart"/>
      <w:r w:rsidR="003F4A97">
        <w:rPr>
          <w:rFonts w:ascii="Verdana" w:eastAsia="Times New Roman" w:hAnsi="Verdana" w:cs="Times New Roman"/>
          <w:color w:val="000000"/>
          <w:lang w:val="en-US"/>
        </w:rPr>
        <w:t>Bhaskar</w:t>
      </w:r>
      <w:proofErr w:type="spellEnd"/>
      <w:r w:rsidR="003F4A97">
        <w:rPr>
          <w:rFonts w:ascii="Verdana" w:eastAsia="Times New Roman" w:hAnsi="Verdana" w:cs="Times New Roman"/>
          <w:color w:val="000000"/>
          <w:lang w:val="en-US"/>
        </w:rPr>
        <w:t xml:space="preserve">.  </w:t>
      </w:r>
      <w:r w:rsidR="007E1699">
        <w:rPr>
          <w:rFonts w:ascii="Verdana" w:eastAsia="Times New Roman" w:hAnsi="Verdana" w:cs="Times New Roman"/>
          <w:color w:val="000000"/>
          <w:lang w:val="en-US"/>
        </w:rPr>
        <w:t>(</w:t>
      </w:r>
      <w:r w:rsidR="00B90DC2">
        <w:rPr>
          <w:rFonts w:ascii="Verdana" w:eastAsia="Times New Roman" w:hAnsi="Verdana" w:cs="Times New Roman"/>
          <w:color w:val="000000"/>
          <w:lang w:val="en-US"/>
        </w:rPr>
        <w:t>Business Standard</w:t>
      </w:r>
      <w:r w:rsidR="007E1699">
        <w:rPr>
          <w:rFonts w:ascii="Verdana" w:eastAsia="Times New Roman" w:hAnsi="Verdana" w:cs="Times New Roman"/>
          <w:color w:val="000000"/>
          <w:lang w:val="en-US"/>
        </w:rPr>
        <w:t>, March 6, 2019)</w:t>
      </w:r>
      <w:r w:rsidR="00B90DC2">
        <w:rPr>
          <w:rFonts w:ascii="Verdana" w:eastAsia="Times New Roman" w:hAnsi="Verdana" w:cs="Times New Roman"/>
          <w:color w:val="000000"/>
          <w:lang w:val="en-US"/>
        </w:rPr>
        <w:t>.  The concerns</w:t>
      </w:r>
      <w:r w:rsidR="00BD2DFF">
        <w:rPr>
          <w:rFonts w:ascii="Verdana" w:eastAsia="Times New Roman" w:hAnsi="Verdana" w:cs="Times New Roman"/>
          <w:color w:val="000000"/>
          <w:lang w:val="en-US"/>
        </w:rPr>
        <w:t xml:space="preserve"> relate to recognition of revenue, reporting of re</w:t>
      </w:r>
      <w:r w:rsidR="00B90DC2">
        <w:rPr>
          <w:rFonts w:ascii="Verdana" w:eastAsia="Times New Roman" w:hAnsi="Verdana" w:cs="Times New Roman"/>
          <w:color w:val="000000"/>
          <w:lang w:val="en-US"/>
        </w:rPr>
        <w:t xml:space="preserve">venue and allocation of revenue in respect of revenue from the </w:t>
      </w:r>
      <w:proofErr w:type="spellStart"/>
      <w:r w:rsidR="00B90DC2">
        <w:rPr>
          <w:rFonts w:ascii="Verdana" w:eastAsia="Times New Roman" w:hAnsi="Verdana" w:cs="Times New Roman"/>
          <w:color w:val="000000"/>
          <w:lang w:val="en-US"/>
        </w:rPr>
        <w:t>IGST</w:t>
      </w:r>
      <w:proofErr w:type="spellEnd"/>
      <w:r w:rsidR="00B90DC2">
        <w:rPr>
          <w:rFonts w:ascii="Verdana" w:eastAsia="Times New Roman" w:hAnsi="Verdana" w:cs="Times New Roman"/>
          <w:color w:val="000000"/>
          <w:lang w:val="en-US"/>
        </w:rPr>
        <w:t xml:space="preserve"> and compensation for the year 2017-18.  </w:t>
      </w:r>
      <w:r w:rsidR="00BD2DFF">
        <w:rPr>
          <w:rFonts w:ascii="Verdana" w:eastAsia="Times New Roman" w:hAnsi="Verdana" w:cs="Times New Roman"/>
          <w:color w:val="000000"/>
          <w:lang w:val="en-US"/>
        </w:rPr>
        <w:t xml:space="preserve">  </w:t>
      </w:r>
    </w:p>
    <w:p w:rsidR="00040B4E" w:rsidRPr="00E54CF3" w:rsidRDefault="00040B4E" w:rsidP="00FF7F41">
      <w:pPr>
        <w:spacing w:before="240" w:after="0" w:line="480" w:lineRule="auto"/>
        <w:jc w:val="both"/>
        <w:rPr>
          <w:rFonts w:ascii="Times New Roman" w:eastAsia="Times New Roman" w:hAnsi="Times New Roman" w:cs="Times New Roman"/>
          <w:sz w:val="24"/>
          <w:szCs w:val="24"/>
          <w:lang w:val="en-US"/>
        </w:rPr>
      </w:pPr>
      <w:r>
        <w:rPr>
          <w:rFonts w:ascii="Verdana" w:eastAsia="Times New Roman" w:hAnsi="Verdana" w:cs="Times New Roman"/>
          <w:color w:val="000000"/>
          <w:lang w:val="en-US"/>
        </w:rPr>
        <w:tab/>
      </w:r>
      <w:r w:rsidR="005019B8">
        <w:rPr>
          <w:rFonts w:ascii="Verdana" w:eastAsia="Times New Roman" w:hAnsi="Verdana" w:cs="Times New Roman"/>
          <w:color w:val="000000"/>
          <w:lang w:val="en-US"/>
        </w:rPr>
        <w:t>He argues</w:t>
      </w:r>
      <w:r>
        <w:rPr>
          <w:rFonts w:ascii="Verdana" w:eastAsia="Times New Roman" w:hAnsi="Verdana" w:cs="Times New Roman"/>
          <w:color w:val="000000"/>
          <w:lang w:val="en-US"/>
        </w:rPr>
        <w:t xml:space="preserve"> that the GoI is utilising the </w:t>
      </w:r>
      <w:proofErr w:type="spellStart"/>
      <w:r>
        <w:rPr>
          <w:rFonts w:ascii="Verdana" w:eastAsia="Times New Roman" w:hAnsi="Verdana" w:cs="Times New Roman"/>
          <w:color w:val="000000"/>
          <w:lang w:val="en-US"/>
        </w:rPr>
        <w:t>IGST</w:t>
      </w:r>
      <w:proofErr w:type="spellEnd"/>
      <w:r w:rsidR="007E1699">
        <w:rPr>
          <w:rFonts w:ascii="Verdana" w:eastAsia="Times New Roman" w:hAnsi="Verdana" w:cs="Times New Roman"/>
          <w:color w:val="000000"/>
          <w:lang w:val="en-US"/>
        </w:rPr>
        <w:t xml:space="preserve"> and Compensation </w:t>
      </w:r>
      <w:proofErr w:type="spellStart"/>
      <w:r w:rsidR="007E1699">
        <w:rPr>
          <w:rFonts w:ascii="Verdana" w:eastAsia="Times New Roman" w:hAnsi="Verdana" w:cs="Times New Roman"/>
          <w:color w:val="000000"/>
          <w:lang w:val="en-US"/>
        </w:rPr>
        <w:t>C</w:t>
      </w:r>
      <w:r>
        <w:rPr>
          <w:rFonts w:ascii="Verdana" w:eastAsia="Times New Roman" w:hAnsi="Verdana" w:cs="Times New Roman"/>
          <w:color w:val="000000"/>
          <w:lang w:val="en-US"/>
        </w:rPr>
        <w:t>ess</w:t>
      </w:r>
      <w:proofErr w:type="spellEnd"/>
      <w:r>
        <w:rPr>
          <w:rFonts w:ascii="Verdana" w:eastAsia="Times New Roman" w:hAnsi="Verdana" w:cs="Times New Roman"/>
          <w:color w:val="000000"/>
          <w:lang w:val="en-US"/>
        </w:rPr>
        <w:t xml:space="preserve"> Fund Accounts simultaneously as source of revenue and as a source of ways and means financing.  This approach sets up perverse incentives to delay </w:t>
      </w:r>
      <w:proofErr w:type="spellStart"/>
      <w:r>
        <w:rPr>
          <w:rFonts w:ascii="Verdana" w:eastAsia="Times New Roman" w:hAnsi="Verdana" w:cs="Times New Roman"/>
          <w:color w:val="000000"/>
          <w:lang w:val="en-US"/>
        </w:rPr>
        <w:t>IGST</w:t>
      </w:r>
      <w:proofErr w:type="spellEnd"/>
      <w:r>
        <w:rPr>
          <w:rFonts w:ascii="Verdana" w:eastAsia="Times New Roman" w:hAnsi="Verdana" w:cs="Times New Roman"/>
          <w:color w:val="000000"/>
          <w:lang w:val="en-US"/>
        </w:rPr>
        <w:t xml:space="preserve"> refunds and Compensation Fund payments.  The former significantly emasculates exporters, manufacturers and trader</w:t>
      </w:r>
      <w:r w:rsidR="00D24E16">
        <w:rPr>
          <w:rFonts w:ascii="Verdana" w:eastAsia="Times New Roman" w:hAnsi="Verdana" w:cs="Times New Roman"/>
          <w:color w:val="000000"/>
          <w:lang w:val="en-US"/>
        </w:rPr>
        <w:t>s, with downstream consequences, while t</w:t>
      </w:r>
      <w:r>
        <w:rPr>
          <w:rFonts w:ascii="Verdana" w:eastAsia="Times New Roman" w:hAnsi="Verdana" w:cs="Times New Roman"/>
          <w:color w:val="000000"/>
          <w:lang w:val="en-US"/>
        </w:rPr>
        <w:t>he latter debi</w:t>
      </w:r>
      <w:r w:rsidR="004B32AF">
        <w:rPr>
          <w:rFonts w:ascii="Verdana" w:eastAsia="Times New Roman" w:hAnsi="Verdana" w:cs="Times New Roman"/>
          <w:color w:val="000000"/>
          <w:lang w:val="en-US"/>
        </w:rPr>
        <w:t>litates the fiscal position of S</w:t>
      </w:r>
      <w:r>
        <w:rPr>
          <w:rFonts w:ascii="Verdana" w:eastAsia="Times New Roman" w:hAnsi="Verdana" w:cs="Times New Roman"/>
          <w:color w:val="000000"/>
          <w:lang w:val="en-US"/>
        </w:rPr>
        <w:t xml:space="preserve">tate governments.  </w:t>
      </w:r>
    </w:p>
    <w:p w:rsidR="00F24B93" w:rsidRDefault="00F609B1" w:rsidP="00F24B93">
      <w:pPr>
        <w:spacing w:before="240" w:after="0" w:line="480" w:lineRule="auto"/>
        <w:jc w:val="both"/>
        <w:textAlignment w:val="baseline"/>
        <w:rPr>
          <w:rFonts w:ascii="Verdana" w:eastAsia="Times New Roman" w:hAnsi="Verdana" w:cs="Times New Roman"/>
          <w:bCs/>
          <w:color w:val="000000"/>
          <w:lang w:val="en-US"/>
        </w:rPr>
      </w:pPr>
      <w:r>
        <w:rPr>
          <w:rFonts w:ascii="Verdana" w:eastAsia="Times New Roman" w:hAnsi="Verdana" w:cs="Times New Roman"/>
          <w:b/>
          <w:bCs/>
          <w:color w:val="000000"/>
          <w:u w:val="single"/>
          <w:lang w:val="en-US"/>
        </w:rPr>
        <w:t>Controversies</w:t>
      </w:r>
      <w:r w:rsidR="00F24B93">
        <w:rPr>
          <w:rFonts w:ascii="Verdana" w:eastAsia="Times New Roman" w:hAnsi="Verdana" w:cs="Times New Roman"/>
          <w:b/>
          <w:bCs/>
          <w:color w:val="000000"/>
          <w:u w:val="single"/>
          <w:lang w:val="en-US"/>
        </w:rPr>
        <w:t>:</w:t>
      </w:r>
      <w:r w:rsidR="00F24B93">
        <w:rPr>
          <w:rFonts w:ascii="Verdana" w:eastAsia="Times New Roman" w:hAnsi="Verdana" w:cs="Times New Roman"/>
          <w:bCs/>
          <w:color w:val="000000"/>
          <w:lang w:val="en-US"/>
        </w:rPr>
        <w:t xml:space="preserve"> </w:t>
      </w:r>
    </w:p>
    <w:p w:rsidR="006139AB" w:rsidRDefault="00F24B93" w:rsidP="00F24B93">
      <w:pPr>
        <w:spacing w:after="0" w:line="480" w:lineRule="auto"/>
        <w:jc w:val="both"/>
        <w:textAlignment w:val="baseline"/>
        <w:rPr>
          <w:rFonts w:ascii="Verdana" w:eastAsia="Times New Roman" w:hAnsi="Verdana" w:cs="Times New Roman"/>
          <w:bCs/>
          <w:color w:val="000000"/>
          <w:lang w:val="en-US"/>
        </w:rPr>
      </w:pPr>
      <w:r>
        <w:rPr>
          <w:rFonts w:ascii="Verdana" w:eastAsia="Times New Roman" w:hAnsi="Verdana" w:cs="Times New Roman"/>
          <w:bCs/>
          <w:color w:val="000000"/>
          <w:lang w:val="en-US"/>
        </w:rPr>
        <w:tab/>
        <w:t>The Terms of Reference of the XV Finance Commission invited unprecedented controversies.  Traditionally, the core functions of the Finance Commission included a reference to providing grants for the States which are in need of assistance.  This has been deleted.  States genuinely fear that</w:t>
      </w:r>
      <w:r w:rsidR="001C1BDA">
        <w:rPr>
          <w:rFonts w:ascii="Verdana" w:eastAsia="Times New Roman" w:hAnsi="Verdana" w:cs="Times New Roman"/>
          <w:bCs/>
          <w:color w:val="000000"/>
          <w:lang w:val="en-US"/>
        </w:rPr>
        <w:t>,</w:t>
      </w:r>
      <w:r>
        <w:rPr>
          <w:rFonts w:ascii="Verdana" w:eastAsia="Times New Roman" w:hAnsi="Verdana" w:cs="Times New Roman"/>
          <w:bCs/>
          <w:color w:val="000000"/>
          <w:lang w:val="en-US"/>
        </w:rPr>
        <w:t xml:space="preserve"> in the absence of need based revenue deficit grants, discretionary powers will be conferred on the Union contrary to the intent of the Constitution.  Secondly, the </w:t>
      </w:r>
      <w:r w:rsidR="003C3101">
        <w:rPr>
          <w:rFonts w:ascii="Verdana" w:eastAsia="Times New Roman" w:hAnsi="Verdana" w:cs="Times New Roman"/>
          <w:bCs/>
          <w:color w:val="000000"/>
          <w:lang w:val="en-US"/>
        </w:rPr>
        <w:t>XV</w:t>
      </w:r>
      <w:r>
        <w:rPr>
          <w:rFonts w:ascii="Verdana" w:eastAsia="Times New Roman" w:hAnsi="Verdana" w:cs="Times New Roman"/>
          <w:bCs/>
          <w:color w:val="000000"/>
          <w:lang w:val="en-US"/>
        </w:rPr>
        <w:t xml:space="preserve"> Finance Commission has been asked to take into account the impact of the "substantial increase in the tax devolution recommended by the </w:t>
      </w:r>
      <w:r w:rsidR="003C3101">
        <w:rPr>
          <w:rFonts w:ascii="Verdana" w:eastAsia="Times New Roman" w:hAnsi="Verdana" w:cs="Times New Roman"/>
          <w:bCs/>
          <w:color w:val="000000"/>
          <w:lang w:val="en-US"/>
        </w:rPr>
        <w:t>XIV</w:t>
      </w:r>
      <w:r>
        <w:rPr>
          <w:rFonts w:ascii="Verdana" w:eastAsia="Times New Roman" w:hAnsi="Verdana" w:cs="Times New Roman"/>
          <w:bCs/>
          <w:color w:val="000000"/>
          <w:lang w:val="en-US"/>
        </w:rPr>
        <w:t xml:space="preserve"> Finance Commission".  This is the first time </w:t>
      </w:r>
      <w:r>
        <w:rPr>
          <w:rFonts w:ascii="Verdana" w:eastAsia="Times New Roman" w:hAnsi="Verdana" w:cs="Times New Roman"/>
          <w:bCs/>
          <w:color w:val="000000"/>
          <w:lang w:val="en-US"/>
        </w:rPr>
        <w:lastRenderedPageBreak/>
        <w:t xml:space="preserve">that a specific mandate has been given to review the recommendations of the previous Commission.  Thirdly, </w:t>
      </w:r>
      <w:proofErr w:type="gramStart"/>
      <w:r>
        <w:rPr>
          <w:rFonts w:ascii="Verdana" w:eastAsia="Times New Roman" w:hAnsi="Verdana" w:cs="Times New Roman"/>
          <w:bCs/>
          <w:color w:val="000000"/>
          <w:lang w:val="en-US"/>
        </w:rPr>
        <w:t>a national development program including New India 2022 representing the programs of the present government have</w:t>
      </w:r>
      <w:proofErr w:type="gramEnd"/>
      <w:r>
        <w:rPr>
          <w:rFonts w:ascii="Verdana" w:eastAsia="Times New Roman" w:hAnsi="Verdana" w:cs="Times New Roman"/>
          <w:bCs/>
          <w:color w:val="000000"/>
          <w:lang w:val="en-US"/>
        </w:rPr>
        <w:t xml:space="preserve"> been mentioned as a consideration for the Finance Commission.  </w:t>
      </w:r>
      <w:r w:rsidR="00550281">
        <w:rPr>
          <w:rFonts w:ascii="Verdana" w:eastAsia="Times New Roman" w:hAnsi="Verdana" w:cs="Times New Roman"/>
          <w:bCs/>
          <w:color w:val="000000"/>
          <w:lang w:val="en-US"/>
        </w:rPr>
        <w:t xml:space="preserve">This gives rise to the fear among the States that the Finance Commission is being asked to support the specific program of the Government of the day.  Fourthly, the Commission has been mandated to take into consideration specific factors while giving consent to the borrowings of the State Governments.  This is unprecedented and virtually makes the approval of the borrowing program subject to </w:t>
      </w:r>
      <w:r w:rsidR="00150D18">
        <w:rPr>
          <w:rFonts w:ascii="Verdana" w:eastAsia="Times New Roman" w:hAnsi="Verdana" w:cs="Times New Roman"/>
          <w:bCs/>
          <w:color w:val="000000"/>
          <w:lang w:val="en-US"/>
        </w:rPr>
        <w:t xml:space="preserve">extraneous considerations.  </w:t>
      </w:r>
      <w:r w:rsidR="000E5ED8">
        <w:rPr>
          <w:rFonts w:ascii="Verdana" w:eastAsia="Times New Roman" w:hAnsi="Verdana" w:cs="Times New Roman"/>
          <w:bCs/>
          <w:color w:val="000000"/>
          <w:lang w:val="en-US"/>
        </w:rPr>
        <w:t>The approval of Union Government is required only if the State happens to owe a debt to Union Government and hence th</w:t>
      </w:r>
      <w:r w:rsidR="00026653">
        <w:rPr>
          <w:rFonts w:ascii="Verdana" w:eastAsia="Times New Roman" w:hAnsi="Verdana" w:cs="Times New Roman"/>
          <w:bCs/>
          <w:color w:val="000000"/>
          <w:lang w:val="en-US"/>
        </w:rPr>
        <w:t>e</w:t>
      </w:r>
      <w:r w:rsidR="000E5ED8">
        <w:rPr>
          <w:rFonts w:ascii="Verdana" w:eastAsia="Times New Roman" w:hAnsi="Verdana" w:cs="Times New Roman"/>
          <w:bCs/>
          <w:color w:val="000000"/>
          <w:lang w:val="en-US"/>
        </w:rPr>
        <w:t xml:space="preserve"> presumptions about the intent of the Constitution. </w:t>
      </w:r>
      <w:r w:rsidR="00550281">
        <w:rPr>
          <w:rFonts w:ascii="Verdana" w:eastAsia="Times New Roman" w:hAnsi="Verdana" w:cs="Times New Roman"/>
          <w:bCs/>
          <w:color w:val="000000"/>
          <w:lang w:val="en-US"/>
        </w:rPr>
        <w:t xml:space="preserve">  The ToR also lists out nine areas proposing</w:t>
      </w:r>
      <w:r w:rsidR="00692570">
        <w:rPr>
          <w:rFonts w:ascii="Verdana" w:eastAsia="Times New Roman" w:hAnsi="Verdana" w:cs="Times New Roman"/>
          <w:bCs/>
          <w:color w:val="000000"/>
          <w:lang w:val="en-US"/>
        </w:rPr>
        <w:t xml:space="preserve"> </w:t>
      </w:r>
      <w:r w:rsidR="00550281">
        <w:rPr>
          <w:rFonts w:ascii="Verdana" w:eastAsia="Times New Roman" w:hAnsi="Verdana" w:cs="Times New Roman"/>
          <w:bCs/>
          <w:color w:val="000000"/>
          <w:lang w:val="en-US"/>
        </w:rPr>
        <w:t>measurable performance</w:t>
      </w:r>
      <w:r w:rsidR="001C1BDA">
        <w:rPr>
          <w:rFonts w:ascii="Verdana" w:eastAsia="Times New Roman" w:hAnsi="Verdana" w:cs="Times New Roman"/>
          <w:bCs/>
          <w:color w:val="000000"/>
          <w:lang w:val="en-US"/>
        </w:rPr>
        <w:t>-</w:t>
      </w:r>
      <w:r w:rsidR="00550281">
        <w:rPr>
          <w:rFonts w:ascii="Verdana" w:eastAsia="Times New Roman" w:hAnsi="Verdana" w:cs="Times New Roman"/>
          <w:bCs/>
          <w:color w:val="000000"/>
          <w:lang w:val="en-US"/>
        </w:rPr>
        <w:t>based incentives</w:t>
      </w:r>
      <w:r w:rsidR="001C1BDA">
        <w:rPr>
          <w:rFonts w:ascii="Verdana" w:eastAsia="Times New Roman" w:hAnsi="Verdana" w:cs="Times New Roman"/>
          <w:bCs/>
          <w:color w:val="000000"/>
          <w:lang w:val="en-US"/>
        </w:rPr>
        <w:t xml:space="preserve"> for States</w:t>
      </w:r>
      <w:r w:rsidR="00550281">
        <w:rPr>
          <w:rFonts w:ascii="Verdana" w:eastAsia="Times New Roman" w:hAnsi="Verdana" w:cs="Times New Roman"/>
          <w:bCs/>
          <w:color w:val="000000"/>
          <w:lang w:val="en-US"/>
        </w:rPr>
        <w:t xml:space="preserve">.  The States fear that the Union Government is unilaterally </w:t>
      </w:r>
      <w:r w:rsidR="006F01AD">
        <w:rPr>
          <w:rFonts w:ascii="Verdana" w:eastAsia="Times New Roman" w:hAnsi="Verdana" w:cs="Times New Roman"/>
          <w:bCs/>
          <w:color w:val="000000"/>
          <w:lang w:val="en-US"/>
        </w:rPr>
        <w:t>deciding</w:t>
      </w:r>
      <w:r w:rsidR="00550281">
        <w:rPr>
          <w:rFonts w:ascii="Verdana" w:eastAsia="Times New Roman" w:hAnsi="Verdana" w:cs="Times New Roman"/>
          <w:bCs/>
          <w:color w:val="000000"/>
          <w:lang w:val="en-US"/>
        </w:rPr>
        <w:t xml:space="preserve"> on the indicators</w:t>
      </w:r>
      <w:r w:rsidR="00CB5F60">
        <w:rPr>
          <w:rFonts w:ascii="Verdana" w:eastAsia="Times New Roman" w:hAnsi="Verdana" w:cs="Times New Roman"/>
          <w:bCs/>
          <w:color w:val="000000"/>
          <w:lang w:val="en-US"/>
        </w:rPr>
        <w:t xml:space="preserve"> and thus, policy priorities</w:t>
      </w:r>
      <w:r w:rsidR="00550281">
        <w:rPr>
          <w:rFonts w:ascii="Verdana" w:eastAsia="Times New Roman" w:hAnsi="Verdana" w:cs="Times New Roman"/>
          <w:bCs/>
          <w:color w:val="000000"/>
          <w:lang w:val="en-US"/>
        </w:rPr>
        <w:t xml:space="preserve">.  The States broadly felt that almost all the changes in the Terms of Reference of the XV Finance Commission are heavily loaded against the States both quantitatively and qualitatively.  </w:t>
      </w:r>
    </w:p>
    <w:p w:rsidR="00FF7F41" w:rsidRDefault="0011418D" w:rsidP="00D73099">
      <w:pPr>
        <w:spacing w:before="240" w:line="480" w:lineRule="auto"/>
        <w:ind w:firstLine="720"/>
        <w:jc w:val="both"/>
        <w:rPr>
          <w:rFonts w:ascii="Verdana" w:eastAsia="Times New Roman" w:hAnsi="Verdana" w:cs="Times New Roman"/>
          <w:color w:val="000000"/>
          <w:lang w:val="en-US"/>
        </w:rPr>
      </w:pPr>
      <w:r w:rsidRPr="0011418D">
        <w:rPr>
          <w:rFonts w:ascii="Verdana" w:eastAsia="Times New Roman" w:hAnsi="Verdana" w:cs="Times New Roman"/>
          <w:bCs/>
          <w:color w:val="000000"/>
          <w:lang w:val="en-US"/>
        </w:rPr>
        <w:t>The required use of 2011 population figures as the basis by the Finance Commission triggered strong reaction from some of the States.</w:t>
      </w:r>
      <w:r>
        <w:rPr>
          <w:rFonts w:ascii="Verdana" w:eastAsia="Times New Roman" w:hAnsi="Verdana" w:cs="Times New Roman"/>
          <w:bCs/>
          <w:color w:val="000000"/>
          <w:lang w:val="en-US"/>
        </w:rPr>
        <w:t xml:space="preserve">  </w:t>
      </w:r>
      <w:r w:rsidR="009F022C">
        <w:rPr>
          <w:rFonts w:ascii="Verdana" w:eastAsia="Times New Roman" w:hAnsi="Verdana" w:cs="Times New Roman"/>
          <w:color w:val="000000"/>
          <w:lang w:val="en-US"/>
        </w:rPr>
        <w:t>T</w:t>
      </w:r>
      <w:r w:rsidR="00FF7F41" w:rsidRPr="00FF7F41">
        <w:rPr>
          <w:rFonts w:ascii="Verdana" w:eastAsia="Times New Roman" w:hAnsi="Verdana" w:cs="Times New Roman"/>
          <w:color w:val="000000"/>
          <w:lang w:val="en-US"/>
        </w:rPr>
        <w:t xml:space="preserve">his will lead to </w:t>
      </w:r>
      <w:r w:rsidR="009F022C">
        <w:rPr>
          <w:rFonts w:ascii="Verdana" w:eastAsia="Times New Roman" w:hAnsi="Verdana" w:cs="Times New Roman"/>
          <w:color w:val="000000"/>
          <w:lang w:val="en-US"/>
        </w:rPr>
        <w:t xml:space="preserve">about </w:t>
      </w:r>
      <w:r w:rsidR="00FF7F41" w:rsidRPr="00FF7F41">
        <w:rPr>
          <w:rFonts w:ascii="Verdana" w:eastAsia="Times New Roman" w:hAnsi="Verdana" w:cs="Times New Roman"/>
          <w:color w:val="000000"/>
          <w:lang w:val="en-US"/>
        </w:rPr>
        <w:t>four percentage point drop in the share of Southern States as a group. This is a large drop with implications for devolution of resources as 1971 population had a weight of 17.5 per cent in the horizontal devolution formula of Fourteenth Finance Commission.</w:t>
      </w:r>
    </w:p>
    <w:p w:rsidR="009D25CA" w:rsidRDefault="009D25CA" w:rsidP="009D25CA">
      <w:pPr>
        <w:spacing w:before="240" w:line="480" w:lineRule="auto"/>
        <w:ind w:firstLine="720"/>
        <w:jc w:val="both"/>
        <w:rPr>
          <w:rFonts w:ascii="Verdana" w:eastAsia="Times New Roman" w:hAnsi="Verdana" w:cs="Times New Roman"/>
          <w:color w:val="000000"/>
          <w:lang w:val="en-US"/>
        </w:rPr>
      </w:pPr>
      <w:r w:rsidRPr="009D25CA">
        <w:rPr>
          <w:rFonts w:ascii="Verdana" w:eastAsia="Times New Roman" w:hAnsi="Verdana" w:cs="Times New Roman"/>
          <w:color w:val="000000"/>
          <w:lang w:val="en-US"/>
        </w:rPr>
        <w:lastRenderedPageBreak/>
        <w:t>Use of dated population makes assessment of fiscal need of States unrealistic. Thus, use of 2011 population instead of 1971 is an improvement. However, it is to be noted that Fifteenth Finance Commission award period will be 2020-25, and hence even the use of 2011 population would still be a dated one.</w:t>
      </w:r>
      <w:r w:rsidR="00C8073C">
        <w:rPr>
          <w:rFonts w:ascii="Verdana" w:eastAsia="Times New Roman" w:hAnsi="Verdana" w:cs="Times New Roman"/>
          <w:color w:val="000000"/>
          <w:lang w:val="en-US"/>
        </w:rPr>
        <w:t xml:space="preserve">  However, it is a big improvement over the use of 1971 population.  </w:t>
      </w:r>
    </w:p>
    <w:p w:rsidR="0034577E" w:rsidRDefault="0034577E" w:rsidP="006139AB">
      <w:pPr>
        <w:spacing w:before="240" w:line="480" w:lineRule="auto"/>
        <w:jc w:val="both"/>
        <w:rPr>
          <w:rFonts w:ascii="Verdana" w:eastAsia="Times New Roman" w:hAnsi="Verdana" w:cs="Times New Roman"/>
          <w:color w:val="000000"/>
          <w:lang w:val="en-US"/>
        </w:rPr>
      </w:pPr>
      <w:r>
        <w:rPr>
          <w:rFonts w:ascii="Verdana" w:eastAsia="Times New Roman" w:hAnsi="Verdana" w:cs="Times New Roman"/>
          <w:b/>
          <w:color w:val="000000"/>
          <w:u w:val="single"/>
          <w:lang w:val="en-US"/>
        </w:rPr>
        <w:t>Loss of Revenue</w:t>
      </w:r>
      <w:r>
        <w:rPr>
          <w:rFonts w:ascii="Verdana" w:eastAsia="Times New Roman" w:hAnsi="Verdana" w:cs="Times New Roman"/>
          <w:color w:val="000000"/>
          <w:lang w:val="en-US"/>
        </w:rPr>
        <w:t xml:space="preserve"> </w:t>
      </w:r>
    </w:p>
    <w:p w:rsidR="009A79E5" w:rsidRDefault="009A79E5" w:rsidP="000A1FA4">
      <w:pPr>
        <w:spacing w:after="0" w:line="480" w:lineRule="auto"/>
        <w:ind w:firstLine="720"/>
        <w:jc w:val="both"/>
        <w:rPr>
          <w:rFonts w:ascii="Verdana" w:eastAsia="Times New Roman" w:hAnsi="Verdana" w:cs="Arial"/>
          <w:color w:val="222222"/>
          <w:lang w:val="en-US"/>
        </w:rPr>
      </w:pPr>
      <w:r w:rsidRPr="009A79E5">
        <w:rPr>
          <w:rFonts w:ascii="Verdana" w:eastAsia="Times New Roman" w:hAnsi="Verdana" w:cs="Arial"/>
          <w:color w:val="222222"/>
          <w:lang w:val="en-US"/>
        </w:rPr>
        <w:t xml:space="preserve">The 2019-20 budget has increased the effective income tax threshold to around Rs. 650,000 annual income (about US $ 9,300), which is about four to five times Indian annual per capita income. The current threshold in the United </w:t>
      </w:r>
      <w:proofErr w:type="gramStart"/>
      <w:r w:rsidRPr="009A79E5">
        <w:rPr>
          <w:rFonts w:ascii="Verdana" w:eastAsia="Times New Roman" w:hAnsi="Verdana" w:cs="Arial"/>
          <w:color w:val="222222"/>
          <w:lang w:val="en-US"/>
        </w:rPr>
        <w:t>States,</w:t>
      </w:r>
      <w:proofErr w:type="gramEnd"/>
      <w:r w:rsidRPr="009A79E5">
        <w:rPr>
          <w:rFonts w:ascii="Verdana" w:eastAsia="Times New Roman" w:hAnsi="Verdana" w:cs="Arial"/>
          <w:color w:val="222222"/>
          <w:lang w:val="en-US"/>
        </w:rPr>
        <w:t xml:space="preserve"> is about US $ 13,500, whose per capita income is around thirty times that of India. In PPP terms, the Indian thre</w:t>
      </w:r>
      <w:r w:rsidR="00E61369">
        <w:rPr>
          <w:rFonts w:ascii="Verdana" w:eastAsia="Times New Roman" w:hAnsi="Verdana" w:cs="Arial"/>
          <w:color w:val="222222"/>
          <w:lang w:val="en-US"/>
        </w:rPr>
        <w:t>shold is now around US $ 33,700.</w:t>
      </w:r>
      <w:r w:rsidR="000A1FA4">
        <w:rPr>
          <w:rFonts w:ascii="Verdana" w:eastAsia="Times New Roman" w:hAnsi="Verdana" w:cs="Arial"/>
          <w:color w:val="222222"/>
          <w:lang w:val="en-US"/>
        </w:rPr>
        <w:t xml:space="preserve">  </w:t>
      </w:r>
      <w:r w:rsidRPr="009A79E5">
        <w:rPr>
          <w:rFonts w:ascii="Verdana" w:eastAsia="Times New Roman" w:hAnsi="Verdana" w:cs="Arial"/>
          <w:color w:val="222222"/>
          <w:lang w:val="en-US"/>
        </w:rPr>
        <w:t>China has a tax threshold of $2800/- after which the tax rate rises progressively from 3% to 45%.</w:t>
      </w:r>
      <w:r w:rsidRPr="00D419B6">
        <w:rPr>
          <w:rFonts w:ascii="Verdana" w:eastAsia="Times New Roman" w:hAnsi="Verdana" w:cs="Arial"/>
          <w:color w:val="222222"/>
          <w:lang w:val="en-US"/>
        </w:rPr>
        <w:t xml:space="preserve"> </w:t>
      </w:r>
    </w:p>
    <w:p w:rsidR="002167F7" w:rsidRDefault="002167F7" w:rsidP="002167F7">
      <w:pPr>
        <w:spacing w:before="240" w:after="0" w:line="480" w:lineRule="auto"/>
        <w:ind w:firstLine="720"/>
        <w:jc w:val="both"/>
        <w:rPr>
          <w:rFonts w:ascii="Verdana" w:eastAsia="Times New Roman" w:hAnsi="Verdana" w:cs="Times New Roman"/>
          <w:bCs/>
          <w:color w:val="000000"/>
          <w:lang w:val="en-US"/>
        </w:rPr>
      </w:pPr>
      <w:r>
        <w:rPr>
          <w:rFonts w:ascii="Verdana" w:eastAsia="Times New Roman" w:hAnsi="Verdana" w:cs="Times New Roman"/>
          <w:bCs/>
          <w:color w:val="000000"/>
          <w:lang w:val="en-US"/>
        </w:rPr>
        <w:t xml:space="preserve">India must be the only major economy in the world where inheritance tax is not levied.  The States legitimately feel deprived of their share in such a tax.  </w:t>
      </w:r>
    </w:p>
    <w:p w:rsidR="002B2665" w:rsidRDefault="00C33E99" w:rsidP="00176A2E">
      <w:pPr>
        <w:spacing w:before="240" w:after="0" w:line="480" w:lineRule="auto"/>
        <w:jc w:val="both"/>
        <w:rPr>
          <w:rFonts w:ascii="Verdana" w:eastAsia="Times New Roman" w:hAnsi="Verdana" w:cs="Times New Roman"/>
          <w:bCs/>
          <w:color w:val="000000"/>
          <w:lang w:val="en-US"/>
        </w:rPr>
      </w:pPr>
      <w:r>
        <w:rPr>
          <w:rFonts w:ascii="Verdana" w:eastAsia="Times New Roman" w:hAnsi="Verdana" w:cs="Times New Roman"/>
          <w:bCs/>
          <w:color w:val="000000"/>
          <w:lang w:val="en-US"/>
        </w:rPr>
        <w:tab/>
        <w:t xml:space="preserve">The State Governments feel that the Union Government has not fully exploited the tax potential and in the process the States </w:t>
      </w:r>
      <w:r w:rsidR="00985BC2">
        <w:rPr>
          <w:rFonts w:ascii="Verdana" w:eastAsia="Times New Roman" w:hAnsi="Verdana" w:cs="Times New Roman"/>
          <w:bCs/>
          <w:color w:val="000000"/>
          <w:lang w:val="en-US"/>
        </w:rPr>
        <w:t xml:space="preserve">are </w:t>
      </w:r>
      <w:r>
        <w:rPr>
          <w:rFonts w:ascii="Verdana" w:eastAsia="Times New Roman" w:hAnsi="Verdana" w:cs="Times New Roman"/>
          <w:bCs/>
          <w:color w:val="000000"/>
          <w:lang w:val="en-US"/>
        </w:rPr>
        <w:t>deprived of the adequate dev</w:t>
      </w:r>
      <w:r w:rsidR="00980512">
        <w:rPr>
          <w:rFonts w:ascii="Verdana" w:eastAsia="Times New Roman" w:hAnsi="Verdana" w:cs="Times New Roman"/>
          <w:bCs/>
          <w:color w:val="000000"/>
          <w:lang w:val="en-US"/>
        </w:rPr>
        <w:t>olution</w:t>
      </w:r>
      <w:r>
        <w:rPr>
          <w:rFonts w:ascii="Verdana" w:eastAsia="Times New Roman" w:hAnsi="Verdana" w:cs="Times New Roman"/>
          <w:bCs/>
          <w:color w:val="000000"/>
          <w:lang w:val="en-US"/>
        </w:rPr>
        <w:t xml:space="preserve">.  </w:t>
      </w:r>
    </w:p>
    <w:p w:rsidR="00D419B6" w:rsidRDefault="00494771" w:rsidP="00DE680D">
      <w:pPr>
        <w:spacing w:before="240" w:after="0" w:line="480" w:lineRule="auto"/>
        <w:ind w:firstLine="720"/>
        <w:jc w:val="both"/>
        <w:rPr>
          <w:rFonts w:ascii="Verdana" w:eastAsia="Times New Roman" w:hAnsi="Verdana" w:cs="Times New Roman"/>
          <w:bCs/>
          <w:color w:val="000000"/>
          <w:lang w:val="en-US"/>
        </w:rPr>
      </w:pPr>
      <w:r>
        <w:rPr>
          <w:rFonts w:ascii="Verdana" w:eastAsia="Times New Roman" w:hAnsi="Verdana" w:cs="Times New Roman"/>
          <w:bCs/>
          <w:color w:val="000000"/>
          <w:lang w:val="en-US"/>
        </w:rPr>
        <w:t>In the Indian context, the share of tax-evaded income as a proportion of GDP has be</w:t>
      </w:r>
      <w:r w:rsidR="00DE680D">
        <w:rPr>
          <w:rFonts w:ascii="Verdana" w:eastAsia="Times New Roman" w:hAnsi="Verdana" w:cs="Times New Roman"/>
          <w:bCs/>
          <w:color w:val="000000"/>
          <w:lang w:val="en-US"/>
        </w:rPr>
        <w:t>en estimated by various studies – the range being 21% to 35-40%.</w:t>
      </w:r>
      <w:r>
        <w:rPr>
          <w:rFonts w:ascii="Verdana" w:eastAsia="Times New Roman" w:hAnsi="Verdana" w:cs="Times New Roman"/>
          <w:bCs/>
          <w:color w:val="000000"/>
          <w:lang w:val="en-US"/>
        </w:rPr>
        <w:t xml:space="preserve">  </w:t>
      </w:r>
      <w:r w:rsidR="00AE44AA">
        <w:rPr>
          <w:rFonts w:ascii="Verdana" w:eastAsia="Times New Roman" w:hAnsi="Verdana" w:cs="Times New Roman"/>
          <w:bCs/>
          <w:color w:val="000000"/>
          <w:lang w:val="en-US"/>
        </w:rPr>
        <w:t xml:space="preserve">The size of the tax-evaded economy has an adverse consequence not only for central finances, but also for the states.  This has two aspects: first, the divisible pool of </w:t>
      </w:r>
      <w:r w:rsidR="00AE44AA">
        <w:rPr>
          <w:rFonts w:ascii="Verdana" w:eastAsia="Times New Roman" w:hAnsi="Verdana" w:cs="Times New Roman"/>
          <w:bCs/>
          <w:color w:val="000000"/>
          <w:lang w:val="en-US"/>
        </w:rPr>
        <w:lastRenderedPageBreak/>
        <w:t>the taxes shareable with the states becomes smaller and second, the consequential evasion of state taxes.  Given the higher expenditure obligations and limited revenue-raising powers of the st</w:t>
      </w:r>
      <w:r w:rsidR="00C62A66">
        <w:rPr>
          <w:rFonts w:ascii="Verdana" w:eastAsia="Times New Roman" w:hAnsi="Verdana" w:cs="Times New Roman"/>
          <w:bCs/>
          <w:color w:val="000000"/>
          <w:lang w:val="en-US"/>
        </w:rPr>
        <w:t>ates, it adversely impacts the States</w:t>
      </w:r>
      <w:r w:rsidR="008C2980">
        <w:rPr>
          <w:rFonts w:ascii="Verdana" w:eastAsia="Times New Roman" w:hAnsi="Verdana" w:cs="Times New Roman"/>
          <w:bCs/>
          <w:color w:val="000000"/>
          <w:lang w:val="en-US"/>
        </w:rPr>
        <w:t>’</w:t>
      </w:r>
      <w:r w:rsidR="00AE44AA">
        <w:rPr>
          <w:rFonts w:ascii="Verdana" w:eastAsia="Times New Roman" w:hAnsi="Verdana" w:cs="Times New Roman"/>
          <w:bCs/>
          <w:color w:val="000000"/>
          <w:lang w:val="en-US"/>
        </w:rPr>
        <w:t xml:space="preserve"> intervention capacity more than that of the </w:t>
      </w:r>
      <w:r w:rsidR="0023600F">
        <w:rPr>
          <w:rFonts w:ascii="Verdana" w:eastAsia="Times New Roman" w:hAnsi="Verdana" w:cs="Times New Roman"/>
          <w:bCs/>
          <w:color w:val="000000"/>
          <w:lang w:val="en-US"/>
        </w:rPr>
        <w:t>C</w:t>
      </w:r>
      <w:r w:rsidR="00AE44AA">
        <w:rPr>
          <w:rFonts w:ascii="Verdana" w:eastAsia="Times New Roman" w:hAnsi="Verdana" w:cs="Times New Roman"/>
          <w:bCs/>
          <w:color w:val="000000"/>
          <w:lang w:val="en-US"/>
        </w:rPr>
        <w:t xml:space="preserve">entre.  </w:t>
      </w:r>
      <w:r w:rsidR="00C62A66">
        <w:rPr>
          <w:rFonts w:ascii="Verdana" w:eastAsia="Times New Roman" w:hAnsi="Verdana" w:cs="Times New Roman"/>
          <w:bCs/>
          <w:color w:val="000000"/>
          <w:lang w:val="en-US"/>
        </w:rPr>
        <w:t>Recent initiatives taken by the Government</w:t>
      </w:r>
      <w:r w:rsidR="00DB21F6">
        <w:rPr>
          <w:rFonts w:ascii="Verdana" w:eastAsia="Times New Roman" w:hAnsi="Verdana" w:cs="Times New Roman"/>
          <w:bCs/>
          <w:color w:val="000000"/>
          <w:lang w:val="en-US"/>
        </w:rPr>
        <w:t xml:space="preserve"> to tackle the evil of unaccounted money</w:t>
      </w:r>
      <w:r w:rsidR="00C62A66">
        <w:rPr>
          <w:rFonts w:ascii="Verdana" w:eastAsia="Times New Roman" w:hAnsi="Verdana" w:cs="Times New Roman"/>
          <w:bCs/>
          <w:color w:val="000000"/>
          <w:lang w:val="en-US"/>
        </w:rPr>
        <w:t xml:space="preserve"> should have a beneficial effect, if reflected in tax receipts.  </w:t>
      </w:r>
    </w:p>
    <w:p w:rsidR="0058666B" w:rsidRDefault="00987A1B" w:rsidP="00DE680D">
      <w:pPr>
        <w:spacing w:before="240" w:after="0" w:line="480" w:lineRule="auto"/>
        <w:ind w:firstLine="720"/>
        <w:jc w:val="both"/>
        <w:rPr>
          <w:rFonts w:ascii="Verdana" w:eastAsia="Times New Roman" w:hAnsi="Verdana" w:cs="Times New Roman"/>
          <w:bCs/>
          <w:color w:val="000000"/>
          <w:lang w:val="en-US"/>
        </w:rPr>
      </w:pPr>
      <w:r>
        <w:rPr>
          <w:rFonts w:ascii="Verdana" w:eastAsia="Times New Roman" w:hAnsi="Verdana" w:cs="Times New Roman"/>
          <w:bCs/>
          <w:color w:val="000000"/>
          <w:lang w:val="en-US"/>
        </w:rPr>
        <w:t xml:space="preserve">To sum up, the Indian fiscal federalism is under stress, in the sense that the trust in the institutional arrangements and the manner in which they work is under stress.  Some of the </w:t>
      </w:r>
      <w:r w:rsidR="00FC00B5">
        <w:rPr>
          <w:rFonts w:ascii="Verdana" w:eastAsia="Times New Roman" w:hAnsi="Verdana" w:cs="Times New Roman"/>
          <w:bCs/>
          <w:color w:val="000000"/>
          <w:lang w:val="en-US"/>
        </w:rPr>
        <w:t xml:space="preserve">concerns may be well founded, and others not.  </w:t>
      </w:r>
      <w:r w:rsidR="001C1BDA">
        <w:rPr>
          <w:rFonts w:ascii="Verdana" w:eastAsia="Times New Roman" w:hAnsi="Verdana" w:cs="Times New Roman"/>
          <w:bCs/>
          <w:color w:val="000000"/>
          <w:lang w:val="en-US"/>
        </w:rPr>
        <w:t>A</w:t>
      </w:r>
      <w:r w:rsidR="00FC00B5">
        <w:rPr>
          <w:rFonts w:ascii="Verdana" w:eastAsia="Times New Roman" w:hAnsi="Verdana" w:cs="Times New Roman"/>
          <w:bCs/>
          <w:color w:val="000000"/>
          <w:lang w:val="en-US"/>
        </w:rPr>
        <w:t>s a response some new approaches have been suggested</w:t>
      </w:r>
      <w:r w:rsidR="001C1BDA">
        <w:rPr>
          <w:rFonts w:ascii="Verdana" w:eastAsia="Times New Roman" w:hAnsi="Verdana" w:cs="Times New Roman"/>
          <w:bCs/>
          <w:color w:val="000000"/>
          <w:lang w:val="en-US"/>
        </w:rPr>
        <w:t xml:space="preserve">. </w:t>
      </w:r>
      <w:r w:rsidR="00FC00B5">
        <w:rPr>
          <w:rFonts w:ascii="Verdana" w:eastAsia="Times New Roman" w:hAnsi="Verdana" w:cs="Times New Roman"/>
          <w:bCs/>
          <w:color w:val="000000"/>
          <w:lang w:val="en-US"/>
        </w:rPr>
        <w:t xml:space="preserve"> </w:t>
      </w:r>
      <w:r w:rsidR="00F55EBA">
        <w:rPr>
          <w:rFonts w:ascii="Verdana" w:eastAsia="Times New Roman" w:hAnsi="Verdana" w:cs="Times New Roman"/>
          <w:bCs/>
          <w:color w:val="000000"/>
          <w:lang w:val="en-US"/>
        </w:rPr>
        <w:t xml:space="preserve">I propose to place </w:t>
      </w:r>
      <w:r w:rsidR="0093619E">
        <w:rPr>
          <w:rFonts w:ascii="Verdana" w:eastAsia="Times New Roman" w:hAnsi="Verdana" w:cs="Times New Roman"/>
          <w:bCs/>
          <w:color w:val="000000"/>
          <w:lang w:val="en-US"/>
        </w:rPr>
        <w:t xml:space="preserve">them </w:t>
      </w:r>
      <w:r w:rsidR="00F55EBA">
        <w:rPr>
          <w:rFonts w:ascii="Verdana" w:eastAsia="Times New Roman" w:hAnsi="Verdana" w:cs="Times New Roman"/>
          <w:bCs/>
          <w:color w:val="000000"/>
          <w:lang w:val="en-US"/>
        </w:rPr>
        <w:t xml:space="preserve">before you.  </w:t>
      </w:r>
    </w:p>
    <w:p w:rsidR="00007390" w:rsidRPr="00007390" w:rsidRDefault="00007390" w:rsidP="00AD6060">
      <w:pPr>
        <w:spacing w:before="240" w:after="0" w:line="480" w:lineRule="auto"/>
        <w:jc w:val="center"/>
        <w:rPr>
          <w:rFonts w:ascii="Verdana" w:eastAsia="Times New Roman" w:hAnsi="Verdana" w:cs="Times New Roman"/>
          <w:color w:val="000000"/>
          <w:lang w:val="en-US"/>
        </w:rPr>
      </w:pPr>
      <w:r>
        <w:rPr>
          <w:rFonts w:ascii="Verdana" w:eastAsia="Times New Roman" w:hAnsi="Verdana" w:cs="Times New Roman"/>
          <w:b/>
          <w:color w:val="000000"/>
          <w:u w:val="single"/>
          <w:lang w:val="en-US"/>
        </w:rPr>
        <w:t>PART II: THE NEW APPROACHES</w:t>
      </w:r>
    </w:p>
    <w:p w:rsidR="00E14246" w:rsidRDefault="002107E9" w:rsidP="00526D11">
      <w:pPr>
        <w:pStyle w:val="NoSpacing"/>
        <w:spacing w:before="240" w:line="480" w:lineRule="auto"/>
        <w:jc w:val="both"/>
        <w:rPr>
          <w:rFonts w:ascii="Verdana" w:hAnsi="Verdana"/>
        </w:rPr>
      </w:pPr>
      <w:r>
        <w:rPr>
          <w:rFonts w:ascii="Verdana" w:hAnsi="Verdana"/>
          <w:b/>
          <w:u w:val="single"/>
        </w:rPr>
        <w:t>Analytical Framework and Vision</w:t>
      </w:r>
      <w:r>
        <w:rPr>
          <w:rFonts w:ascii="Verdana" w:hAnsi="Verdana"/>
        </w:rPr>
        <w:t xml:space="preserve">: </w:t>
      </w:r>
    </w:p>
    <w:p w:rsidR="00462BDD" w:rsidRDefault="00D06F79" w:rsidP="002107E9">
      <w:pPr>
        <w:pStyle w:val="NoSpacing"/>
        <w:spacing w:line="480" w:lineRule="auto"/>
        <w:jc w:val="both"/>
        <w:rPr>
          <w:rFonts w:ascii="Verdana" w:hAnsi="Verdana"/>
        </w:rPr>
      </w:pPr>
      <w:r>
        <w:rPr>
          <w:rFonts w:ascii="Verdana" w:hAnsi="Verdana"/>
        </w:rPr>
        <w:tab/>
        <w:t xml:space="preserve">Dr. </w:t>
      </w:r>
      <w:proofErr w:type="spellStart"/>
      <w:r>
        <w:rPr>
          <w:rFonts w:ascii="Verdana" w:hAnsi="Verdana"/>
        </w:rPr>
        <w:t>Arvind</w:t>
      </w:r>
      <w:proofErr w:type="spellEnd"/>
      <w:r>
        <w:rPr>
          <w:rFonts w:ascii="Verdana" w:hAnsi="Verdana"/>
        </w:rPr>
        <w:t xml:space="preserve"> Subramanian (former Chief Economic Adviser, Government of India)</w:t>
      </w:r>
      <w:r w:rsidR="002107E9">
        <w:rPr>
          <w:rFonts w:ascii="Verdana" w:hAnsi="Verdana"/>
        </w:rPr>
        <w:t xml:space="preserve"> in his book "Of Counsel"</w:t>
      </w:r>
      <w:r w:rsidR="00F44FD2">
        <w:rPr>
          <w:rFonts w:ascii="Verdana" w:hAnsi="Verdana"/>
        </w:rPr>
        <w:t xml:space="preserve"> (2018</w:t>
      </w:r>
      <w:r w:rsidR="00D64B21">
        <w:rPr>
          <w:rFonts w:ascii="Verdana" w:hAnsi="Verdana"/>
        </w:rPr>
        <w:t>)</w:t>
      </w:r>
      <w:r w:rsidR="002107E9">
        <w:rPr>
          <w:rFonts w:ascii="Verdana" w:hAnsi="Verdana"/>
        </w:rPr>
        <w:t>, has devoted one chapter to a new approach for Fiscal Federalism.  The Chapter is titled "Fiscal Federalism in India: An Analytical Framework and Vision"</w:t>
      </w:r>
      <w:r w:rsidR="00095F09">
        <w:rPr>
          <w:rFonts w:ascii="Verdana" w:hAnsi="Verdana"/>
        </w:rPr>
        <w:t xml:space="preserve">. </w:t>
      </w:r>
    </w:p>
    <w:p w:rsidR="00946779" w:rsidRDefault="002107E9" w:rsidP="00462BDD">
      <w:pPr>
        <w:pStyle w:val="NoSpacing"/>
        <w:spacing w:before="240" w:line="480" w:lineRule="auto"/>
        <w:ind w:firstLine="720"/>
        <w:jc w:val="both"/>
        <w:rPr>
          <w:rFonts w:ascii="Verdana" w:hAnsi="Verdana"/>
        </w:rPr>
      </w:pPr>
      <w:r>
        <w:rPr>
          <w:rFonts w:ascii="Verdana" w:hAnsi="Verdana"/>
        </w:rPr>
        <w:t>He makes a reference to the difficult question being fac</w:t>
      </w:r>
      <w:r w:rsidR="00462BDD">
        <w:rPr>
          <w:rFonts w:ascii="Verdana" w:hAnsi="Verdana"/>
        </w:rPr>
        <w:t>ed by the XV Finance Commission, and says:</w:t>
      </w:r>
      <w:r>
        <w:rPr>
          <w:rFonts w:ascii="Verdana" w:hAnsi="Verdana"/>
        </w:rPr>
        <w:t xml:space="preserve">  </w:t>
      </w:r>
      <w:r w:rsidR="00664A64">
        <w:rPr>
          <w:rFonts w:ascii="Verdana" w:hAnsi="Verdana"/>
        </w:rPr>
        <w:t xml:space="preserve">"But the underlying issue is a serious one: how much tax revenue should prosperous states </w:t>
      </w:r>
      <w:proofErr w:type="gramStart"/>
      <w:r w:rsidR="00664A64">
        <w:rPr>
          <w:rFonts w:ascii="Verdana" w:hAnsi="Verdana"/>
        </w:rPr>
        <w:t>be</w:t>
      </w:r>
      <w:proofErr w:type="gramEnd"/>
      <w:r w:rsidR="00664A64">
        <w:rPr>
          <w:rFonts w:ascii="Verdana" w:hAnsi="Verdana"/>
        </w:rPr>
        <w:t xml:space="preserve"> expected to transfer to less well-off ones?"</w:t>
      </w:r>
    </w:p>
    <w:p w:rsidR="002107E9" w:rsidRDefault="00913E34" w:rsidP="00462BDD">
      <w:pPr>
        <w:pStyle w:val="NoSpacing"/>
        <w:spacing w:before="240" w:line="480" w:lineRule="auto"/>
        <w:ind w:firstLine="720"/>
        <w:jc w:val="both"/>
        <w:rPr>
          <w:rFonts w:ascii="Verdana" w:hAnsi="Verdana"/>
        </w:rPr>
      </w:pPr>
      <w:r>
        <w:rPr>
          <w:rFonts w:ascii="Verdana" w:hAnsi="Verdana"/>
        </w:rPr>
        <w:t xml:space="preserve">While this may be </w:t>
      </w:r>
      <w:r w:rsidR="006B4611">
        <w:rPr>
          <w:rFonts w:ascii="Verdana" w:hAnsi="Verdana"/>
        </w:rPr>
        <w:t xml:space="preserve">one of </w:t>
      </w:r>
      <w:r>
        <w:rPr>
          <w:rFonts w:ascii="Verdana" w:hAnsi="Verdana"/>
        </w:rPr>
        <w:t>the important issue</w:t>
      </w:r>
      <w:r w:rsidR="006B4611">
        <w:rPr>
          <w:rFonts w:ascii="Verdana" w:hAnsi="Verdana"/>
        </w:rPr>
        <w:t>s</w:t>
      </w:r>
      <w:r>
        <w:rPr>
          <w:rFonts w:ascii="Verdana" w:hAnsi="Verdana"/>
        </w:rPr>
        <w:t xml:space="preserve">, it is obvious that the framework and the vision for fiscal federalism </w:t>
      </w:r>
      <w:r w:rsidR="006C525D">
        <w:rPr>
          <w:rFonts w:ascii="Verdana" w:hAnsi="Verdana"/>
        </w:rPr>
        <w:t>have</w:t>
      </w:r>
      <w:r>
        <w:rPr>
          <w:rFonts w:ascii="Verdana" w:hAnsi="Verdana"/>
        </w:rPr>
        <w:t xml:space="preserve"> to go beyond </w:t>
      </w:r>
      <w:r w:rsidR="008D2A82">
        <w:rPr>
          <w:rFonts w:ascii="Verdana" w:hAnsi="Verdana"/>
        </w:rPr>
        <w:t>this issue</w:t>
      </w:r>
      <w:r>
        <w:rPr>
          <w:rFonts w:ascii="Verdana" w:hAnsi="Verdana"/>
        </w:rPr>
        <w:t xml:space="preserve">.  Yet, </w:t>
      </w:r>
      <w:r>
        <w:rPr>
          <w:rFonts w:ascii="Verdana" w:hAnsi="Verdana"/>
        </w:rPr>
        <w:lastRenderedPageBreak/>
        <w:t>the fra</w:t>
      </w:r>
      <w:r w:rsidR="00500DEE">
        <w:rPr>
          <w:rFonts w:ascii="Verdana" w:hAnsi="Verdana"/>
        </w:rPr>
        <w:t>mework as well as the vision</w:t>
      </w:r>
      <w:r w:rsidR="00095F09">
        <w:rPr>
          <w:rFonts w:ascii="Verdana" w:hAnsi="Verdana"/>
        </w:rPr>
        <w:t xml:space="preserve"> proposed by him </w:t>
      </w:r>
      <w:r w:rsidR="00500DEE">
        <w:rPr>
          <w:rFonts w:ascii="Verdana" w:hAnsi="Verdana"/>
        </w:rPr>
        <w:t xml:space="preserve">needs to be considered in detail since it is in response to the current status of debates.  </w:t>
      </w:r>
    </w:p>
    <w:p w:rsidR="00BF39EB" w:rsidRDefault="00BF39EB" w:rsidP="00BF39EB">
      <w:pPr>
        <w:pStyle w:val="NoSpacing"/>
        <w:spacing w:before="240" w:line="480" w:lineRule="auto"/>
        <w:jc w:val="both"/>
        <w:rPr>
          <w:rFonts w:ascii="Verdana" w:hAnsi="Verdana"/>
        </w:rPr>
      </w:pPr>
      <w:r>
        <w:rPr>
          <w:rFonts w:ascii="Verdana" w:hAnsi="Verdana"/>
        </w:rPr>
        <w:tab/>
        <w:t xml:space="preserve">The framework states that tax sharing in all federal systems has to address three issues, namely, redistribution or </w:t>
      </w:r>
      <w:proofErr w:type="spellStart"/>
      <w:r>
        <w:rPr>
          <w:rFonts w:ascii="Verdana" w:hAnsi="Verdana"/>
        </w:rPr>
        <w:t>equalising</w:t>
      </w:r>
      <w:proofErr w:type="spellEnd"/>
      <w:r>
        <w:rPr>
          <w:rFonts w:ascii="Verdana" w:hAnsi="Verdana"/>
        </w:rPr>
        <w:t xml:space="preserve"> transfers; risk sharing in response to shocks and incentives for better performance at the lower tiers of government.  </w:t>
      </w:r>
    </w:p>
    <w:p w:rsidR="00731E43" w:rsidRDefault="005803D3" w:rsidP="00BF39EB">
      <w:pPr>
        <w:pStyle w:val="NoSpacing"/>
        <w:spacing w:before="240" w:line="480" w:lineRule="auto"/>
        <w:jc w:val="both"/>
        <w:rPr>
          <w:rFonts w:ascii="Verdana" w:hAnsi="Verdana"/>
        </w:rPr>
      </w:pPr>
      <w:r>
        <w:rPr>
          <w:rFonts w:ascii="Verdana" w:hAnsi="Verdana"/>
        </w:rPr>
        <w:tab/>
        <w:t xml:space="preserve">On the </w:t>
      </w:r>
      <w:r w:rsidR="003F6DE3">
        <w:rPr>
          <w:rFonts w:ascii="Verdana" w:hAnsi="Verdana"/>
        </w:rPr>
        <w:t>first issue of redistribution, Dr. Subramanian</w:t>
      </w:r>
      <w:r>
        <w:rPr>
          <w:rFonts w:ascii="Verdana" w:hAnsi="Verdana"/>
        </w:rPr>
        <w:t xml:space="preserve"> proceeds on the assumption that the divisible pool comprises taxes that the Centre is collecting on behalf of the States.  </w:t>
      </w:r>
    </w:p>
    <w:p w:rsidR="00095F09" w:rsidRDefault="00C2154F" w:rsidP="00731E43">
      <w:pPr>
        <w:pStyle w:val="NoSpacing"/>
        <w:spacing w:before="240" w:line="480" w:lineRule="auto"/>
        <w:ind w:firstLine="720"/>
        <w:jc w:val="both"/>
        <w:rPr>
          <w:rFonts w:ascii="Verdana" w:hAnsi="Verdana"/>
        </w:rPr>
      </w:pPr>
      <w:r>
        <w:rPr>
          <w:rFonts w:ascii="Verdana" w:hAnsi="Verdana"/>
        </w:rPr>
        <w:t>In reality, t</w:t>
      </w:r>
      <w:r w:rsidR="00681B8E">
        <w:rPr>
          <w:rFonts w:ascii="Verdana" w:hAnsi="Verdana"/>
        </w:rPr>
        <w:t>he Centre collects th</w:t>
      </w:r>
      <w:r w:rsidR="00B4023B">
        <w:rPr>
          <w:rFonts w:ascii="Verdana" w:hAnsi="Verdana"/>
        </w:rPr>
        <w:t>e</w:t>
      </w:r>
      <w:r w:rsidR="00681B8E">
        <w:rPr>
          <w:rFonts w:ascii="Verdana" w:hAnsi="Verdana"/>
        </w:rPr>
        <w:t xml:space="preserve"> taxes </w:t>
      </w:r>
      <w:r w:rsidR="0068401E">
        <w:rPr>
          <w:rFonts w:ascii="Verdana" w:hAnsi="Verdana"/>
        </w:rPr>
        <w:t>on behalf of both C</w:t>
      </w:r>
      <w:r w:rsidR="00095F09">
        <w:rPr>
          <w:rFonts w:ascii="Verdana" w:hAnsi="Verdana"/>
        </w:rPr>
        <w:t xml:space="preserve">entre and </w:t>
      </w:r>
      <w:r w:rsidR="0068401E">
        <w:rPr>
          <w:rFonts w:ascii="Verdana" w:hAnsi="Verdana"/>
        </w:rPr>
        <w:t>S</w:t>
      </w:r>
      <w:r w:rsidR="00095F09">
        <w:rPr>
          <w:rFonts w:ascii="Verdana" w:hAnsi="Verdana"/>
        </w:rPr>
        <w:t xml:space="preserve">tates </w:t>
      </w:r>
      <w:r w:rsidR="00681B8E">
        <w:rPr>
          <w:rFonts w:ascii="Verdana" w:hAnsi="Verdana"/>
        </w:rPr>
        <w:t xml:space="preserve">and </w:t>
      </w:r>
      <w:r w:rsidR="00404D13">
        <w:rPr>
          <w:rFonts w:ascii="Verdana" w:hAnsi="Verdana"/>
        </w:rPr>
        <w:t>the amounts are shared between the two.  The Centre's sh</w:t>
      </w:r>
      <w:r w:rsidR="005B5D23">
        <w:rPr>
          <w:rFonts w:ascii="Verdana" w:hAnsi="Verdana"/>
        </w:rPr>
        <w:t>a</w:t>
      </w:r>
      <w:r w:rsidR="00404D13">
        <w:rPr>
          <w:rFonts w:ascii="Verdana" w:hAnsi="Verdana"/>
        </w:rPr>
        <w:t xml:space="preserve">re is credited to Consolidated Fund of </w:t>
      </w:r>
      <w:r w:rsidR="00791F4C">
        <w:rPr>
          <w:rFonts w:ascii="Verdana" w:hAnsi="Verdana"/>
        </w:rPr>
        <w:t xml:space="preserve">the </w:t>
      </w:r>
      <w:r w:rsidR="00404D13">
        <w:rPr>
          <w:rFonts w:ascii="Verdana" w:hAnsi="Verdana"/>
        </w:rPr>
        <w:t>Government of India and the States</w:t>
      </w:r>
      <w:r w:rsidR="00F265F4">
        <w:rPr>
          <w:rFonts w:ascii="Verdana" w:hAnsi="Verdana"/>
        </w:rPr>
        <w:t>'</w:t>
      </w:r>
      <w:r w:rsidR="00404D13">
        <w:rPr>
          <w:rFonts w:ascii="Verdana" w:hAnsi="Verdana"/>
        </w:rPr>
        <w:t xml:space="preserve"> share to the respective States.  </w:t>
      </w:r>
      <w:r w:rsidR="00681B8E">
        <w:rPr>
          <w:rFonts w:ascii="Verdana" w:hAnsi="Verdana"/>
        </w:rPr>
        <w:t xml:space="preserve">Consequently, there is a </w:t>
      </w:r>
      <w:r w:rsidR="00E056F8">
        <w:rPr>
          <w:rFonts w:ascii="Verdana" w:hAnsi="Verdana"/>
        </w:rPr>
        <w:t xml:space="preserve">simultaneous </w:t>
      </w:r>
      <w:r w:rsidR="00681B8E">
        <w:rPr>
          <w:rFonts w:ascii="Verdana" w:hAnsi="Verdana"/>
        </w:rPr>
        <w:t xml:space="preserve">vertical sharing </w:t>
      </w:r>
      <w:r w:rsidR="003971E7">
        <w:rPr>
          <w:rFonts w:ascii="Verdana" w:hAnsi="Verdana"/>
        </w:rPr>
        <w:t xml:space="preserve">and </w:t>
      </w:r>
      <w:r w:rsidR="00681B8E">
        <w:rPr>
          <w:rFonts w:ascii="Verdana" w:hAnsi="Verdana"/>
        </w:rPr>
        <w:t>horizontal sharing.</w:t>
      </w:r>
      <w:r w:rsidR="002B3400">
        <w:rPr>
          <w:rFonts w:ascii="Verdana" w:hAnsi="Verdana"/>
        </w:rPr>
        <w:t xml:space="preserve"> </w:t>
      </w:r>
      <w:r w:rsidR="0048324A">
        <w:rPr>
          <w:rFonts w:ascii="Verdana" w:hAnsi="Verdana"/>
        </w:rPr>
        <w:t xml:space="preserve"> </w:t>
      </w:r>
      <w:r w:rsidR="00E07AA7">
        <w:rPr>
          <w:rFonts w:ascii="Verdana" w:hAnsi="Verdana"/>
        </w:rPr>
        <w:t>In fact, t</w:t>
      </w:r>
      <w:r w:rsidR="002B3400">
        <w:rPr>
          <w:rFonts w:ascii="Verdana" w:hAnsi="Verdana"/>
        </w:rPr>
        <w:t xml:space="preserve">he vertical </w:t>
      </w:r>
      <w:r w:rsidR="00E07AA7">
        <w:rPr>
          <w:rFonts w:ascii="Verdana" w:hAnsi="Verdana"/>
        </w:rPr>
        <w:t>sharing is the control</w:t>
      </w:r>
      <w:r w:rsidR="00791F4C">
        <w:rPr>
          <w:rFonts w:ascii="Verdana" w:hAnsi="Verdana"/>
        </w:rPr>
        <w:t>ling</w:t>
      </w:r>
      <w:r w:rsidR="00E07AA7">
        <w:rPr>
          <w:rFonts w:ascii="Verdana" w:hAnsi="Verdana"/>
        </w:rPr>
        <w:t xml:space="preserve"> factor </w:t>
      </w:r>
      <w:r w:rsidR="00791F4C">
        <w:rPr>
          <w:rFonts w:ascii="Verdana" w:hAnsi="Verdana"/>
        </w:rPr>
        <w:t xml:space="preserve">that decides </w:t>
      </w:r>
      <w:r w:rsidR="00E07AA7">
        <w:rPr>
          <w:rFonts w:ascii="Verdana" w:hAnsi="Verdana"/>
        </w:rPr>
        <w:t xml:space="preserve">the outcome of horizontal sharing across States. </w:t>
      </w:r>
      <w:r w:rsidR="00681B8E">
        <w:rPr>
          <w:rFonts w:ascii="Verdana" w:hAnsi="Verdana"/>
        </w:rPr>
        <w:t xml:space="preserve">   </w:t>
      </w:r>
    </w:p>
    <w:p w:rsidR="005803D3" w:rsidRDefault="00E07AA7" w:rsidP="005B5D23">
      <w:pPr>
        <w:pStyle w:val="NoSpacing"/>
        <w:spacing w:before="240" w:line="480" w:lineRule="auto"/>
        <w:ind w:firstLine="720"/>
        <w:jc w:val="both"/>
        <w:rPr>
          <w:rFonts w:ascii="Verdana" w:hAnsi="Verdana"/>
        </w:rPr>
      </w:pPr>
      <w:r>
        <w:rPr>
          <w:rFonts w:ascii="Verdana" w:hAnsi="Verdana"/>
        </w:rPr>
        <w:t xml:space="preserve">On the question of </w:t>
      </w:r>
      <w:r w:rsidR="00095F09">
        <w:rPr>
          <w:rFonts w:ascii="Verdana" w:hAnsi="Verdana"/>
        </w:rPr>
        <w:t>horizontal sharing</w:t>
      </w:r>
      <w:r w:rsidR="0095324B">
        <w:rPr>
          <w:rFonts w:ascii="Verdana" w:hAnsi="Verdana"/>
        </w:rPr>
        <w:t>,</w:t>
      </w:r>
      <w:r>
        <w:rPr>
          <w:rFonts w:ascii="Verdana" w:hAnsi="Verdana"/>
        </w:rPr>
        <w:t xml:space="preserve"> Dr. Subramanian argues</w:t>
      </w:r>
      <w:r w:rsidR="00791F4C">
        <w:rPr>
          <w:rFonts w:ascii="Verdana" w:hAnsi="Verdana"/>
        </w:rPr>
        <w:t xml:space="preserve">, </w:t>
      </w:r>
      <w:r w:rsidR="00BA1BB8">
        <w:rPr>
          <w:rFonts w:ascii="Verdana" w:hAnsi="Verdana"/>
        </w:rPr>
        <w:t>"</w:t>
      </w:r>
      <w:r w:rsidR="00791F4C">
        <w:rPr>
          <w:rFonts w:ascii="Verdana" w:hAnsi="Verdana"/>
        </w:rPr>
        <w:t>w</w:t>
      </w:r>
      <w:r w:rsidR="00BA1BB8">
        <w:rPr>
          <w:rFonts w:ascii="Verdana" w:hAnsi="Verdana"/>
        </w:rPr>
        <w:t xml:space="preserve">e need to go back to first principles, and restore the </w:t>
      </w:r>
      <w:r w:rsidR="002A0EED">
        <w:rPr>
          <w:rFonts w:ascii="Verdana" w:hAnsi="Verdana"/>
        </w:rPr>
        <w:t>primacy of the idea, implied in the Constitution, that the divisible pool comprises taxes that the Centre is collecting on behalf of the states.  Accordingly, the default should be to give back to the states the taxes they have generated.  Redistribution should then be understood as departures from this benchmark."</w:t>
      </w:r>
    </w:p>
    <w:p w:rsidR="005B5D23" w:rsidRPr="00CD590D" w:rsidRDefault="005B5D23" w:rsidP="005B5D23">
      <w:pPr>
        <w:pStyle w:val="NoSpacing"/>
        <w:spacing w:before="240" w:line="480" w:lineRule="auto"/>
        <w:ind w:firstLine="720"/>
        <w:jc w:val="both"/>
        <w:rPr>
          <w:rFonts w:ascii="Verdana" w:hAnsi="Verdana"/>
        </w:rPr>
      </w:pPr>
      <w:r>
        <w:rPr>
          <w:rFonts w:ascii="Verdana" w:hAnsi="Verdana"/>
        </w:rPr>
        <w:t xml:space="preserve">In reality, there is no basis to assume that default option is to give back since it is not contemplated </w:t>
      </w:r>
      <w:r w:rsidR="00EB4303">
        <w:rPr>
          <w:rFonts w:ascii="Verdana" w:hAnsi="Verdana"/>
        </w:rPr>
        <w:t xml:space="preserve">or </w:t>
      </w:r>
      <w:r>
        <w:rPr>
          <w:rFonts w:ascii="Verdana" w:hAnsi="Verdana"/>
        </w:rPr>
        <w:t>i</w:t>
      </w:r>
      <w:r w:rsidR="00EB4303">
        <w:rPr>
          <w:rFonts w:ascii="Verdana" w:hAnsi="Verdana"/>
        </w:rPr>
        <w:t>mplied in the Constitution.</w:t>
      </w:r>
      <w:r>
        <w:rPr>
          <w:rFonts w:ascii="Verdana" w:hAnsi="Verdana"/>
        </w:rPr>
        <w:t xml:space="preserve"> </w:t>
      </w:r>
      <w:r w:rsidR="00EE74A6">
        <w:rPr>
          <w:rFonts w:ascii="Verdana" w:hAnsi="Verdana"/>
        </w:rPr>
        <w:t xml:space="preserve"> </w:t>
      </w:r>
      <w:r w:rsidR="00CD590D">
        <w:rPr>
          <w:rFonts w:ascii="Verdana" w:hAnsi="Verdana"/>
        </w:rPr>
        <w:t xml:space="preserve">Further, </w:t>
      </w:r>
      <w:r w:rsidR="004C3B35">
        <w:rPr>
          <w:rFonts w:ascii="Verdana" w:hAnsi="Verdana"/>
        </w:rPr>
        <w:t>i</w:t>
      </w:r>
      <w:r w:rsidR="00CD590D" w:rsidRPr="00CD590D">
        <w:rPr>
          <w:rFonts w:ascii="Verdana" w:hAnsi="Verdana"/>
        </w:rPr>
        <w:t xml:space="preserve">n a common </w:t>
      </w:r>
      <w:r w:rsidR="00CD590D" w:rsidRPr="00CD590D">
        <w:rPr>
          <w:rFonts w:ascii="Verdana" w:hAnsi="Verdana"/>
        </w:rPr>
        <w:lastRenderedPageBreak/>
        <w:t xml:space="preserve">market where the producers get the profits/incomes from the consumers, is it possible to attribute the taxes merely because it is collected there?  </w:t>
      </w:r>
    </w:p>
    <w:p w:rsidR="005A6679" w:rsidRDefault="00C67789" w:rsidP="00BF39EB">
      <w:pPr>
        <w:pStyle w:val="NoSpacing"/>
        <w:spacing w:before="240" w:line="480" w:lineRule="auto"/>
        <w:jc w:val="both"/>
        <w:rPr>
          <w:rFonts w:ascii="Verdana" w:hAnsi="Verdana"/>
        </w:rPr>
      </w:pPr>
      <w:r>
        <w:rPr>
          <w:rFonts w:ascii="Verdana" w:hAnsi="Verdana"/>
        </w:rPr>
        <w:tab/>
      </w:r>
      <w:r w:rsidR="009A16EF">
        <w:rPr>
          <w:rFonts w:ascii="Verdana" w:hAnsi="Verdana"/>
        </w:rPr>
        <w:t xml:space="preserve">On </w:t>
      </w:r>
      <w:r w:rsidR="00B4023B">
        <w:rPr>
          <w:rFonts w:ascii="Verdana" w:hAnsi="Verdana"/>
        </w:rPr>
        <w:t xml:space="preserve">the second issue of </w:t>
      </w:r>
      <w:r w:rsidR="005A6679">
        <w:rPr>
          <w:rFonts w:ascii="Verdana" w:hAnsi="Verdana"/>
        </w:rPr>
        <w:t>risk sharing, Dr. Subramanian</w:t>
      </w:r>
      <w:r w:rsidR="009A16EF">
        <w:rPr>
          <w:rFonts w:ascii="Verdana" w:hAnsi="Verdana"/>
        </w:rPr>
        <w:t xml:space="preserve"> feels that the States do not have enough fiscal flexibility to deal with major shocks</w:t>
      </w:r>
      <w:r w:rsidR="00C2154F">
        <w:rPr>
          <w:rFonts w:ascii="Verdana" w:hAnsi="Verdana"/>
        </w:rPr>
        <w:t xml:space="preserve">, </w:t>
      </w:r>
      <w:r w:rsidR="0048324A">
        <w:rPr>
          <w:rFonts w:ascii="Verdana" w:hAnsi="Verdana"/>
        </w:rPr>
        <w:t xml:space="preserve">and </w:t>
      </w:r>
      <w:r w:rsidR="006D32DB">
        <w:rPr>
          <w:rFonts w:ascii="Verdana" w:hAnsi="Verdana"/>
        </w:rPr>
        <w:t xml:space="preserve">that </w:t>
      </w:r>
      <w:r w:rsidR="0048324A">
        <w:rPr>
          <w:rFonts w:ascii="Verdana" w:hAnsi="Verdana"/>
        </w:rPr>
        <w:t>they will need some help from the Centre</w:t>
      </w:r>
      <w:r w:rsidR="009A16EF">
        <w:rPr>
          <w:rFonts w:ascii="Verdana" w:hAnsi="Verdana"/>
        </w:rPr>
        <w:t xml:space="preserve">.  </w:t>
      </w:r>
      <w:r w:rsidR="006D32DB">
        <w:rPr>
          <w:rFonts w:ascii="Verdana" w:hAnsi="Verdana"/>
        </w:rPr>
        <w:t>That is true</w:t>
      </w:r>
      <w:r w:rsidR="00C2154F">
        <w:rPr>
          <w:rFonts w:ascii="Verdana" w:hAnsi="Verdana"/>
        </w:rPr>
        <w:t>,</w:t>
      </w:r>
      <w:r w:rsidR="006D32DB">
        <w:rPr>
          <w:rFonts w:ascii="Verdana" w:hAnsi="Verdana"/>
        </w:rPr>
        <w:t xml:space="preserve"> </w:t>
      </w:r>
      <w:r w:rsidR="001137DF">
        <w:rPr>
          <w:rFonts w:ascii="Verdana" w:hAnsi="Verdana"/>
        </w:rPr>
        <w:t xml:space="preserve">and </w:t>
      </w:r>
      <w:r w:rsidR="00C2154F">
        <w:rPr>
          <w:rFonts w:ascii="Verdana" w:hAnsi="Verdana"/>
        </w:rPr>
        <w:t xml:space="preserve">this is an issue </w:t>
      </w:r>
      <w:r w:rsidR="00036FA9">
        <w:rPr>
          <w:rFonts w:ascii="Verdana" w:hAnsi="Verdana"/>
        </w:rPr>
        <w:t xml:space="preserve">that impacts both </w:t>
      </w:r>
      <w:r w:rsidR="00C2154F">
        <w:rPr>
          <w:rFonts w:ascii="Verdana" w:hAnsi="Verdana"/>
        </w:rPr>
        <w:t>vertical and horizontal</w:t>
      </w:r>
      <w:r w:rsidR="00EC66EE">
        <w:rPr>
          <w:rFonts w:ascii="Verdana" w:hAnsi="Verdana"/>
        </w:rPr>
        <w:t xml:space="preserve"> </w:t>
      </w:r>
      <w:r w:rsidR="00513146">
        <w:rPr>
          <w:rFonts w:ascii="Verdana" w:hAnsi="Verdana"/>
        </w:rPr>
        <w:t xml:space="preserve">balance.  </w:t>
      </w:r>
    </w:p>
    <w:p w:rsidR="00822299" w:rsidRDefault="005A6679" w:rsidP="005A6679">
      <w:pPr>
        <w:pStyle w:val="NoSpacing"/>
        <w:spacing w:before="240" w:line="480" w:lineRule="auto"/>
        <w:ind w:firstLine="720"/>
        <w:jc w:val="both"/>
        <w:rPr>
          <w:rFonts w:ascii="Verdana" w:hAnsi="Verdana"/>
        </w:rPr>
      </w:pPr>
      <w:r>
        <w:rPr>
          <w:rFonts w:ascii="Verdana" w:hAnsi="Verdana"/>
        </w:rPr>
        <w:t>On the third issue, h</w:t>
      </w:r>
      <w:r w:rsidR="009A16EF">
        <w:rPr>
          <w:rFonts w:ascii="Verdana" w:hAnsi="Verdana"/>
        </w:rPr>
        <w:t>e argues that there is a low equilibrium trap</w:t>
      </w:r>
      <w:r w:rsidR="00A55738">
        <w:rPr>
          <w:rFonts w:ascii="Verdana" w:hAnsi="Verdana"/>
        </w:rPr>
        <w:t>, which is true</w:t>
      </w:r>
      <w:r w:rsidR="009A16EF">
        <w:rPr>
          <w:rFonts w:ascii="Verdana" w:hAnsi="Verdana"/>
        </w:rPr>
        <w:t>.</w:t>
      </w:r>
      <w:r w:rsidR="005A1B74">
        <w:rPr>
          <w:rFonts w:ascii="Verdana" w:hAnsi="Verdana"/>
        </w:rPr>
        <w:t xml:space="preserve">  He adds:</w:t>
      </w:r>
      <w:r w:rsidR="009A16EF">
        <w:rPr>
          <w:rFonts w:ascii="Verdana" w:hAnsi="Verdana"/>
        </w:rPr>
        <w:t xml:space="preserve"> </w:t>
      </w:r>
      <w:r w:rsidR="005F3CEC">
        <w:rPr>
          <w:rFonts w:ascii="Verdana" w:hAnsi="Verdana"/>
        </w:rPr>
        <w:t>"Consequently, the issue f</w:t>
      </w:r>
      <w:r w:rsidR="000202BD">
        <w:rPr>
          <w:rFonts w:ascii="Verdana" w:hAnsi="Verdana"/>
        </w:rPr>
        <w:t>a</w:t>
      </w:r>
      <w:r w:rsidR="005F3CEC">
        <w:rPr>
          <w:rFonts w:ascii="Verdana" w:hAnsi="Verdana"/>
        </w:rPr>
        <w:t xml:space="preserve">cing the FC is: can it provide credible incentives for second- and third-tier fiscal bodies to improve their own revenue performance, especially direct taxes, in order to facilitate better service delivery?"  </w:t>
      </w:r>
    </w:p>
    <w:p w:rsidR="00C67789" w:rsidRDefault="003A2601" w:rsidP="005A6679">
      <w:pPr>
        <w:pStyle w:val="NoSpacing"/>
        <w:spacing w:before="240" w:line="480" w:lineRule="auto"/>
        <w:ind w:firstLine="720"/>
        <w:jc w:val="both"/>
        <w:rPr>
          <w:rFonts w:ascii="Verdana" w:hAnsi="Verdana"/>
        </w:rPr>
      </w:pPr>
      <w:r>
        <w:rPr>
          <w:rFonts w:ascii="Verdana" w:hAnsi="Verdana"/>
        </w:rPr>
        <w:t xml:space="preserve">It is not clear why improving resource performance of </w:t>
      </w:r>
      <w:r w:rsidR="00DC2E96">
        <w:rPr>
          <w:rFonts w:ascii="Verdana" w:hAnsi="Verdana"/>
        </w:rPr>
        <w:t xml:space="preserve">only the </w:t>
      </w:r>
      <w:r>
        <w:rPr>
          <w:rFonts w:ascii="Verdana" w:hAnsi="Verdana"/>
        </w:rPr>
        <w:t xml:space="preserve">2nd tier and </w:t>
      </w:r>
      <w:r w:rsidR="00DC2E96">
        <w:rPr>
          <w:rFonts w:ascii="Verdana" w:hAnsi="Verdana"/>
        </w:rPr>
        <w:t xml:space="preserve">the </w:t>
      </w:r>
      <w:r>
        <w:rPr>
          <w:rFonts w:ascii="Verdana" w:hAnsi="Verdana"/>
        </w:rPr>
        <w:t xml:space="preserve">3rd tier is </w:t>
      </w:r>
      <w:r w:rsidR="00791F4C">
        <w:rPr>
          <w:rFonts w:ascii="Verdana" w:hAnsi="Verdana"/>
        </w:rPr>
        <w:t xml:space="preserve">mentioned </w:t>
      </w:r>
      <w:r w:rsidR="005716D2">
        <w:rPr>
          <w:rFonts w:ascii="Verdana" w:hAnsi="Verdana"/>
        </w:rPr>
        <w:t xml:space="preserve">and the </w:t>
      </w:r>
      <w:r>
        <w:rPr>
          <w:rFonts w:ascii="Verdana" w:hAnsi="Verdana"/>
        </w:rPr>
        <w:t>Central Government</w:t>
      </w:r>
      <w:r w:rsidR="00791F4C">
        <w:rPr>
          <w:rFonts w:ascii="Verdana" w:hAnsi="Verdana"/>
        </w:rPr>
        <w:t xml:space="preserve"> excluded</w:t>
      </w:r>
      <w:r>
        <w:rPr>
          <w:rFonts w:ascii="Verdana" w:hAnsi="Verdana"/>
        </w:rPr>
        <w:t xml:space="preserve">.  </w:t>
      </w:r>
      <w:r w:rsidR="00631F6E">
        <w:rPr>
          <w:rFonts w:ascii="Verdana" w:hAnsi="Verdana"/>
        </w:rPr>
        <w:t xml:space="preserve">Moreover, incentives for 3rd tier cannot be built into </w:t>
      </w:r>
      <w:r w:rsidR="00EC66EE">
        <w:rPr>
          <w:rFonts w:ascii="Verdana" w:hAnsi="Verdana"/>
        </w:rPr>
        <w:t>a mechanism of tax devolution meant to address the fiscal capacity differential across States</w:t>
      </w:r>
      <w:r w:rsidR="00631F6E">
        <w:rPr>
          <w:rFonts w:ascii="Verdana" w:hAnsi="Verdana"/>
        </w:rPr>
        <w:t>.</w:t>
      </w:r>
      <w:r w:rsidR="001137DF">
        <w:rPr>
          <w:rFonts w:ascii="Verdana" w:hAnsi="Verdana"/>
        </w:rPr>
        <w:t xml:space="preserve">  As per the Constitutional provisions, t</w:t>
      </w:r>
      <w:r w:rsidR="00822299">
        <w:rPr>
          <w:rFonts w:ascii="Verdana" w:hAnsi="Verdana"/>
        </w:rPr>
        <w:t>he 3rd tier gets funds</w:t>
      </w:r>
      <w:r w:rsidR="00513146">
        <w:rPr>
          <w:rFonts w:ascii="Verdana" w:hAnsi="Verdana"/>
        </w:rPr>
        <w:t xml:space="preserve"> in the form of grants-in-aid from Union Government on the recommendations of Finance Commission </w:t>
      </w:r>
      <w:r w:rsidR="0057029B">
        <w:rPr>
          <w:rFonts w:ascii="Verdana" w:hAnsi="Verdana"/>
        </w:rPr>
        <w:t xml:space="preserve">but </w:t>
      </w:r>
      <w:r w:rsidR="00513146">
        <w:rPr>
          <w:rFonts w:ascii="Verdana" w:hAnsi="Verdana"/>
        </w:rPr>
        <w:t xml:space="preserve">through the </w:t>
      </w:r>
      <w:r w:rsidR="0057029B">
        <w:rPr>
          <w:rFonts w:ascii="Verdana" w:hAnsi="Verdana"/>
        </w:rPr>
        <w:t xml:space="preserve">relevant </w:t>
      </w:r>
      <w:r w:rsidR="00513146">
        <w:rPr>
          <w:rFonts w:ascii="Verdana" w:hAnsi="Verdana"/>
        </w:rPr>
        <w:t xml:space="preserve">State Government.  </w:t>
      </w:r>
      <w:r w:rsidR="00DC2E96">
        <w:rPr>
          <w:rFonts w:ascii="Verdana" w:hAnsi="Verdana"/>
        </w:rPr>
        <w:t>Entry 5 in the State List of the Seven</w:t>
      </w:r>
      <w:r w:rsidR="00E02A7B">
        <w:rPr>
          <w:rFonts w:ascii="Verdana" w:hAnsi="Verdana"/>
        </w:rPr>
        <w:t>,</w:t>
      </w:r>
      <w:r w:rsidR="00DC2E96">
        <w:rPr>
          <w:rFonts w:ascii="Verdana" w:hAnsi="Verdana"/>
        </w:rPr>
        <w:t xml:space="preserve"> the Schedule places the responsi</w:t>
      </w:r>
      <w:r w:rsidR="0007777C">
        <w:rPr>
          <w:rFonts w:ascii="Verdana" w:hAnsi="Verdana"/>
        </w:rPr>
        <w:t xml:space="preserve">bility for the </w:t>
      </w:r>
      <w:r w:rsidR="00791F4C">
        <w:rPr>
          <w:rFonts w:ascii="Verdana" w:hAnsi="Verdana"/>
        </w:rPr>
        <w:t>l</w:t>
      </w:r>
      <w:r w:rsidR="0007777C">
        <w:rPr>
          <w:rFonts w:ascii="Verdana" w:hAnsi="Verdana"/>
        </w:rPr>
        <w:t>ocal government</w:t>
      </w:r>
      <w:r w:rsidR="00DC2E96">
        <w:rPr>
          <w:rFonts w:ascii="Verdana" w:hAnsi="Verdana"/>
        </w:rPr>
        <w:t>s squarely in the domain of the States</w:t>
      </w:r>
      <w:r w:rsidR="00BB6D27">
        <w:rPr>
          <w:rFonts w:ascii="Verdana" w:hAnsi="Verdana"/>
        </w:rPr>
        <w:t>.</w:t>
      </w:r>
    </w:p>
    <w:p w:rsidR="00F35557" w:rsidRDefault="000202BD" w:rsidP="00085B7D">
      <w:pPr>
        <w:pStyle w:val="NoSpacing"/>
        <w:spacing w:before="240" w:line="480" w:lineRule="auto"/>
        <w:jc w:val="both"/>
        <w:rPr>
          <w:rFonts w:ascii="Verdana" w:hAnsi="Verdana"/>
          <w:szCs w:val="24"/>
        </w:rPr>
      </w:pPr>
      <w:r>
        <w:rPr>
          <w:rFonts w:ascii="Verdana" w:hAnsi="Verdana"/>
        </w:rPr>
        <w:tab/>
        <w:t xml:space="preserve">As regards </w:t>
      </w:r>
      <w:r w:rsidR="00791F4C">
        <w:rPr>
          <w:rFonts w:ascii="Verdana" w:hAnsi="Verdana"/>
        </w:rPr>
        <w:t>the w</w:t>
      </w:r>
      <w:r>
        <w:rPr>
          <w:rFonts w:ascii="Verdana" w:hAnsi="Verdana"/>
        </w:rPr>
        <w:t xml:space="preserve">ay </w:t>
      </w:r>
      <w:r w:rsidR="00791F4C">
        <w:rPr>
          <w:rFonts w:ascii="Verdana" w:hAnsi="Verdana"/>
        </w:rPr>
        <w:t>f</w:t>
      </w:r>
      <w:r>
        <w:rPr>
          <w:rFonts w:ascii="Verdana" w:hAnsi="Verdana"/>
        </w:rPr>
        <w:t xml:space="preserve">orward, </w:t>
      </w:r>
      <w:r w:rsidR="00F35557">
        <w:rPr>
          <w:rFonts w:ascii="Verdana" w:hAnsi="Verdana"/>
        </w:rPr>
        <w:t xml:space="preserve">Dr. Subramanian's </w:t>
      </w:r>
      <w:r>
        <w:rPr>
          <w:rFonts w:ascii="Verdana" w:hAnsi="Verdana"/>
        </w:rPr>
        <w:t xml:space="preserve">suggestion is that the tax sharing should have four </w:t>
      </w:r>
      <w:r w:rsidR="003B3259">
        <w:rPr>
          <w:rFonts w:ascii="Verdana" w:hAnsi="Verdana"/>
        </w:rPr>
        <w:t>pots</w:t>
      </w:r>
      <w:r>
        <w:rPr>
          <w:rFonts w:ascii="Verdana" w:hAnsi="Verdana"/>
        </w:rPr>
        <w:t xml:space="preserve">.  </w:t>
      </w:r>
      <w:r w:rsidR="00E74AF2">
        <w:rPr>
          <w:rFonts w:ascii="Verdana" w:hAnsi="Verdana"/>
        </w:rPr>
        <w:t xml:space="preserve">First, a default pot, in which states get back their due based on their tax base (what might be called true 'devolution').  </w:t>
      </w:r>
      <w:proofErr w:type="gramStart"/>
      <w:r w:rsidR="00E74AF2">
        <w:rPr>
          <w:rFonts w:ascii="Verdana" w:hAnsi="Verdana"/>
        </w:rPr>
        <w:t xml:space="preserve">Second, a redistribution pot that balances the short-run need to equalize without denting the </w:t>
      </w:r>
      <w:r w:rsidR="00E74AF2">
        <w:rPr>
          <w:rFonts w:ascii="Verdana" w:hAnsi="Verdana"/>
        </w:rPr>
        <w:lastRenderedPageBreak/>
        <w:t>long-run incentives for revenue generation.</w:t>
      </w:r>
      <w:proofErr w:type="gramEnd"/>
      <w:r w:rsidR="00E74AF2">
        <w:rPr>
          <w:rFonts w:ascii="Verdana" w:hAnsi="Verdana"/>
        </w:rPr>
        <w:t xml:space="preserve">  </w:t>
      </w:r>
      <w:r w:rsidR="0005392B">
        <w:rPr>
          <w:rFonts w:ascii="Verdana" w:hAnsi="Verdana"/>
        </w:rPr>
        <w:t xml:space="preserve">Third, a risk-sharing pot to deal with both all-India (financial and currency crisis) and state-specific shocks (monsoon and droughts).  </w:t>
      </w:r>
      <w:proofErr w:type="gramStart"/>
      <w:r w:rsidR="00326029">
        <w:rPr>
          <w:rFonts w:ascii="Verdana" w:hAnsi="Verdana"/>
        </w:rPr>
        <w:t>Fourth, a rewards</w:t>
      </w:r>
      <w:r w:rsidR="006C2921">
        <w:rPr>
          <w:rFonts w:ascii="Verdana" w:hAnsi="Verdana"/>
        </w:rPr>
        <w:t xml:space="preserve"> pot </w:t>
      </w:r>
      <w:r w:rsidR="00E20DD6">
        <w:rPr>
          <w:rFonts w:ascii="Verdana" w:hAnsi="Verdana"/>
        </w:rPr>
        <w:t xml:space="preserve">to </w:t>
      </w:r>
      <w:r w:rsidR="006C2921">
        <w:rPr>
          <w:rFonts w:ascii="Verdana" w:hAnsi="Verdana"/>
        </w:rPr>
        <w:t>break the 'low-equilibrium' trap at the lower tiers of government.</w:t>
      </w:r>
      <w:proofErr w:type="gramEnd"/>
      <w:r w:rsidR="006C2921">
        <w:rPr>
          <w:rFonts w:ascii="Verdana" w:hAnsi="Verdana"/>
        </w:rPr>
        <w:t xml:space="preserve">  </w:t>
      </w:r>
      <w:r w:rsidR="00085B7D">
        <w:rPr>
          <w:rFonts w:ascii="Verdana" w:hAnsi="Verdana"/>
        </w:rPr>
        <w:t xml:space="preserve">By way of conclusion, he suggests that a new institution may be needed to implement this vision.  </w:t>
      </w:r>
      <w:r w:rsidR="003B6580">
        <w:rPr>
          <w:rFonts w:ascii="Verdana" w:hAnsi="Verdana"/>
          <w:szCs w:val="24"/>
        </w:rPr>
        <w:tab/>
      </w:r>
    </w:p>
    <w:p w:rsidR="00E71D00" w:rsidRDefault="003B6580" w:rsidP="00E71D00">
      <w:pPr>
        <w:pStyle w:val="NoSpacing"/>
        <w:spacing w:before="240" w:line="480" w:lineRule="auto"/>
        <w:ind w:firstLine="720"/>
        <w:jc w:val="both"/>
        <w:rPr>
          <w:rFonts w:ascii="Verdana" w:hAnsi="Verdana"/>
          <w:szCs w:val="24"/>
        </w:rPr>
      </w:pPr>
      <w:r>
        <w:rPr>
          <w:rFonts w:ascii="Verdana" w:hAnsi="Verdana"/>
          <w:szCs w:val="24"/>
        </w:rPr>
        <w:t xml:space="preserve">The </w:t>
      </w:r>
      <w:r w:rsidR="00DD1031">
        <w:rPr>
          <w:rFonts w:ascii="Verdana" w:hAnsi="Verdana"/>
          <w:szCs w:val="24"/>
        </w:rPr>
        <w:t xml:space="preserve">suggested </w:t>
      </w:r>
      <w:r>
        <w:rPr>
          <w:rFonts w:ascii="Verdana" w:hAnsi="Verdana"/>
          <w:szCs w:val="24"/>
        </w:rPr>
        <w:t xml:space="preserve">new framework </w:t>
      </w:r>
      <w:r w:rsidR="00901CDF">
        <w:rPr>
          <w:rFonts w:ascii="Verdana" w:hAnsi="Verdana"/>
          <w:szCs w:val="24"/>
        </w:rPr>
        <w:t xml:space="preserve">and vision </w:t>
      </w:r>
      <w:r>
        <w:rPr>
          <w:rFonts w:ascii="Verdana" w:hAnsi="Verdana"/>
          <w:szCs w:val="24"/>
        </w:rPr>
        <w:t>for tax devolution can be examined from the point of view of Constitutional intent, operational difficulties, lessons of experience, acceptabil</w:t>
      </w:r>
      <w:r w:rsidR="004C3B35">
        <w:rPr>
          <w:rFonts w:ascii="Verdana" w:hAnsi="Verdana"/>
          <w:szCs w:val="24"/>
        </w:rPr>
        <w:t>ity of outcomes and spillover e</w:t>
      </w:r>
      <w:r>
        <w:rPr>
          <w:rFonts w:ascii="Verdana" w:hAnsi="Verdana"/>
          <w:szCs w:val="24"/>
        </w:rPr>
        <w:t xml:space="preserve">ffects.  </w:t>
      </w:r>
      <w:r w:rsidR="00E71D00">
        <w:rPr>
          <w:rFonts w:ascii="Verdana" w:hAnsi="Verdana"/>
          <w:szCs w:val="24"/>
        </w:rPr>
        <w:t xml:space="preserve">As already mentioned, paying back to a particular State based on collection of a tax by the Centre is not contemplated in the Constitution.  </w:t>
      </w:r>
      <w:r>
        <w:rPr>
          <w:rFonts w:ascii="Verdana" w:hAnsi="Verdana"/>
          <w:szCs w:val="24"/>
        </w:rPr>
        <w:t>The Constitution recognises the vertical and horizon</w:t>
      </w:r>
      <w:r w:rsidR="002A04FA">
        <w:rPr>
          <w:rFonts w:ascii="Verdana" w:hAnsi="Verdana"/>
          <w:szCs w:val="24"/>
        </w:rPr>
        <w:t>tal</w:t>
      </w:r>
      <w:r>
        <w:rPr>
          <w:rFonts w:ascii="Verdana" w:hAnsi="Verdana"/>
          <w:szCs w:val="24"/>
        </w:rPr>
        <w:t xml:space="preserve"> imbalances and provides for a periodic Finance Commission with the objective of correcting </w:t>
      </w:r>
      <w:r w:rsidR="00457FD3">
        <w:rPr>
          <w:rFonts w:ascii="Verdana" w:hAnsi="Verdana"/>
          <w:szCs w:val="24"/>
        </w:rPr>
        <w:t xml:space="preserve">both </w:t>
      </w:r>
      <w:r>
        <w:rPr>
          <w:rFonts w:ascii="Verdana" w:hAnsi="Verdana"/>
          <w:szCs w:val="24"/>
        </w:rPr>
        <w:t>th</w:t>
      </w:r>
      <w:r w:rsidR="00DF3EAA">
        <w:rPr>
          <w:rFonts w:ascii="Verdana" w:hAnsi="Verdana"/>
          <w:szCs w:val="24"/>
        </w:rPr>
        <w:t>e imbalances with reference to c</w:t>
      </w:r>
      <w:r>
        <w:rPr>
          <w:rFonts w:ascii="Verdana" w:hAnsi="Verdana"/>
          <w:szCs w:val="24"/>
        </w:rPr>
        <w:t>onstitutional</w:t>
      </w:r>
      <w:r w:rsidR="002A04FA">
        <w:rPr>
          <w:rFonts w:ascii="Verdana" w:hAnsi="Verdana"/>
          <w:szCs w:val="24"/>
        </w:rPr>
        <w:t>ly</w:t>
      </w:r>
      <w:r w:rsidR="00DF3EAA">
        <w:rPr>
          <w:rFonts w:ascii="Verdana" w:hAnsi="Verdana"/>
          <w:szCs w:val="24"/>
        </w:rPr>
        <w:t xml:space="preserve"> </w:t>
      </w:r>
      <w:r>
        <w:rPr>
          <w:rFonts w:ascii="Verdana" w:hAnsi="Verdana"/>
          <w:szCs w:val="24"/>
        </w:rPr>
        <w:t xml:space="preserve">mandated functions.  </w:t>
      </w:r>
    </w:p>
    <w:p w:rsidR="00886303" w:rsidRDefault="007B280C" w:rsidP="00085B7D">
      <w:pPr>
        <w:pStyle w:val="NoSpacing"/>
        <w:spacing w:before="240" w:line="480" w:lineRule="auto"/>
        <w:jc w:val="both"/>
        <w:rPr>
          <w:rFonts w:ascii="Verdana" w:hAnsi="Verdana"/>
          <w:szCs w:val="24"/>
        </w:rPr>
      </w:pPr>
      <w:r>
        <w:rPr>
          <w:rFonts w:ascii="Verdana" w:hAnsi="Verdana"/>
          <w:szCs w:val="24"/>
        </w:rPr>
        <w:tab/>
        <w:t xml:space="preserve">There are operational difficulties in estimating </w:t>
      </w:r>
      <w:r w:rsidR="004C3B35">
        <w:rPr>
          <w:rFonts w:ascii="Verdana" w:hAnsi="Verdana"/>
          <w:szCs w:val="24"/>
        </w:rPr>
        <w:t xml:space="preserve">a </w:t>
      </w:r>
      <w:r>
        <w:rPr>
          <w:rFonts w:ascii="Verdana" w:hAnsi="Verdana"/>
          <w:szCs w:val="24"/>
        </w:rPr>
        <w:t xml:space="preserve">State's share in taxes collected by the Centre by source.  </w:t>
      </w:r>
      <w:r w:rsidR="00AE2735">
        <w:rPr>
          <w:rFonts w:ascii="Verdana" w:hAnsi="Verdana"/>
          <w:szCs w:val="24"/>
        </w:rPr>
        <w:t xml:space="preserve">There are differences between collection and </w:t>
      </w:r>
      <w:r w:rsidR="00DD7A40">
        <w:rPr>
          <w:rFonts w:ascii="Verdana" w:hAnsi="Verdana"/>
          <w:szCs w:val="24"/>
        </w:rPr>
        <w:t>accrual</w:t>
      </w:r>
      <w:r w:rsidR="00AE2735">
        <w:rPr>
          <w:rFonts w:ascii="Verdana" w:hAnsi="Verdana"/>
          <w:szCs w:val="24"/>
        </w:rPr>
        <w:t xml:space="preserve">.  </w:t>
      </w:r>
      <w:r w:rsidR="0084397B">
        <w:rPr>
          <w:rFonts w:ascii="Verdana" w:hAnsi="Verdana"/>
          <w:szCs w:val="24"/>
        </w:rPr>
        <w:t>In an integrated economy, taxes are paid in places where the returns are filed which may be different from where the income accrues.</w:t>
      </w:r>
      <w:r w:rsidR="00DD7A40">
        <w:rPr>
          <w:rFonts w:ascii="Verdana" w:hAnsi="Verdana"/>
          <w:szCs w:val="24"/>
        </w:rPr>
        <w:t xml:space="preserve">  GSDP may be a proxy to the level of economic out</w:t>
      </w:r>
      <w:r w:rsidR="000B0C7E">
        <w:rPr>
          <w:rFonts w:ascii="Verdana" w:hAnsi="Verdana"/>
          <w:szCs w:val="24"/>
        </w:rPr>
        <w:t>put</w:t>
      </w:r>
      <w:r w:rsidR="00DD7A40">
        <w:rPr>
          <w:rFonts w:ascii="Verdana" w:hAnsi="Verdana"/>
          <w:szCs w:val="24"/>
        </w:rPr>
        <w:t xml:space="preserve"> but not tax base.  States</w:t>
      </w:r>
      <w:r w:rsidR="00E02A7B">
        <w:rPr>
          <w:rFonts w:ascii="Verdana" w:hAnsi="Verdana"/>
          <w:szCs w:val="24"/>
        </w:rPr>
        <w:t>’</w:t>
      </w:r>
      <w:r w:rsidR="00DD7A40">
        <w:rPr>
          <w:rFonts w:ascii="Verdana" w:hAnsi="Verdana"/>
          <w:szCs w:val="24"/>
        </w:rPr>
        <w:t xml:space="preserve"> </w:t>
      </w:r>
      <w:r w:rsidR="000B0C7E">
        <w:rPr>
          <w:rFonts w:ascii="Verdana" w:hAnsi="Verdana"/>
          <w:szCs w:val="24"/>
        </w:rPr>
        <w:t>own</w:t>
      </w:r>
      <w:r w:rsidR="00DD7A40">
        <w:rPr>
          <w:rFonts w:ascii="Verdana" w:hAnsi="Verdana"/>
          <w:szCs w:val="24"/>
        </w:rPr>
        <w:t xml:space="preserve"> tax base depends on consumption.  </w:t>
      </w:r>
    </w:p>
    <w:p w:rsidR="008066F0" w:rsidRDefault="00791F4C" w:rsidP="008066F0">
      <w:pPr>
        <w:pStyle w:val="NoSpacing"/>
        <w:spacing w:before="120" w:after="120" w:line="480" w:lineRule="auto"/>
        <w:ind w:firstLine="720"/>
        <w:jc w:val="both"/>
        <w:rPr>
          <w:rFonts w:ascii="Verdana" w:hAnsi="Verdana"/>
          <w:szCs w:val="24"/>
        </w:rPr>
      </w:pPr>
      <w:proofErr w:type="gramStart"/>
      <w:r>
        <w:rPr>
          <w:rFonts w:ascii="Verdana" w:hAnsi="Verdana"/>
          <w:szCs w:val="24"/>
        </w:rPr>
        <w:t>L</w:t>
      </w:r>
      <w:r w:rsidR="0084397B">
        <w:rPr>
          <w:rFonts w:ascii="Verdana" w:hAnsi="Verdana"/>
          <w:szCs w:val="24"/>
        </w:rPr>
        <w:t xml:space="preserve">essons </w:t>
      </w:r>
      <w:r>
        <w:rPr>
          <w:rFonts w:ascii="Verdana" w:hAnsi="Verdana"/>
          <w:szCs w:val="24"/>
        </w:rPr>
        <w:t xml:space="preserve">from the </w:t>
      </w:r>
      <w:r w:rsidR="0084397B">
        <w:rPr>
          <w:rFonts w:ascii="Verdana" w:hAnsi="Verdana"/>
          <w:szCs w:val="24"/>
        </w:rPr>
        <w:t>experience</w:t>
      </w:r>
      <w:r>
        <w:rPr>
          <w:rFonts w:ascii="Verdana" w:hAnsi="Verdana"/>
          <w:szCs w:val="24"/>
        </w:rPr>
        <w:t>s</w:t>
      </w:r>
      <w:r w:rsidR="0084397B">
        <w:rPr>
          <w:rFonts w:ascii="Verdana" w:hAnsi="Verdana"/>
          <w:szCs w:val="24"/>
        </w:rPr>
        <w:t xml:space="preserve"> of First to Ninth Finance Commission</w:t>
      </w:r>
      <w:r>
        <w:rPr>
          <w:rFonts w:ascii="Verdana" w:hAnsi="Verdana"/>
          <w:szCs w:val="24"/>
        </w:rPr>
        <w:t>s</w:t>
      </w:r>
      <w:r w:rsidR="0084397B">
        <w:rPr>
          <w:rFonts w:ascii="Verdana" w:hAnsi="Verdana"/>
          <w:szCs w:val="24"/>
        </w:rPr>
        <w:t xml:space="preserve"> for income tax </w:t>
      </w:r>
      <w:r>
        <w:rPr>
          <w:rFonts w:ascii="Verdana" w:hAnsi="Verdana"/>
          <w:szCs w:val="24"/>
        </w:rPr>
        <w:t xml:space="preserve">point to the </w:t>
      </w:r>
      <w:r w:rsidR="0084397B">
        <w:rPr>
          <w:rFonts w:ascii="Verdana" w:hAnsi="Verdana"/>
          <w:szCs w:val="24"/>
        </w:rPr>
        <w:t>difficulties in giving weights to the collection factor</w:t>
      </w:r>
      <w:r w:rsidR="004D3659">
        <w:rPr>
          <w:rFonts w:ascii="Verdana" w:hAnsi="Verdana"/>
          <w:szCs w:val="24"/>
        </w:rPr>
        <w:t>.</w:t>
      </w:r>
      <w:proofErr w:type="gramEnd"/>
      <w:r w:rsidR="004D3659">
        <w:rPr>
          <w:rFonts w:ascii="Verdana" w:hAnsi="Verdana"/>
          <w:szCs w:val="24"/>
        </w:rPr>
        <w:t xml:space="preserve">  At that time, weights </w:t>
      </w:r>
      <w:r w:rsidR="0084397B">
        <w:rPr>
          <w:rFonts w:ascii="Verdana" w:hAnsi="Verdana"/>
          <w:szCs w:val="24"/>
        </w:rPr>
        <w:t>var</w:t>
      </w:r>
      <w:r w:rsidR="000A5C49">
        <w:rPr>
          <w:rFonts w:ascii="Verdana" w:hAnsi="Verdana"/>
          <w:szCs w:val="24"/>
        </w:rPr>
        <w:t>ied between 10 and 20%.  The X</w:t>
      </w:r>
      <w:r w:rsidR="0084397B">
        <w:rPr>
          <w:rFonts w:ascii="Verdana" w:hAnsi="Verdana"/>
          <w:szCs w:val="24"/>
        </w:rPr>
        <w:t xml:space="preserve"> Finance Commission gav</w:t>
      </w:r>
      <w:r w:rsidR="008066F0">
        <w:rPr>
          <w:rFonts w:ascii="Verdana" w:hAnsi="Verdana"/>
          <w:szCs w:val="24"/>
        </w:rPr>
        <w:t>e</w:t>
      </w:r>
      <w:r w:rsidR="0084397B">
        <w:rPr>
          <w:rFonts w:ascii="Verdana" w:hAnsi="Verdana"/>
          <w:szCs w:val="24"/>
        </w:rPr>
        <w:t xml:space="preserve"> </w:t>
      </w:r>
      <w:r>
        <w:rPr>
          <w:rFonts w:ascii="Verdana" w:hAnsi="Verdana"/>
          <w:szCs w:val="24"/>
        </w:rPr>
        <w:t xml:space="preserve">its reasons </w:t>
      </w:r>
      <w:r w:rsidR="00390D63">
        <w:rPr>
          <w:rFonts w:ascii="Verdana" w:hAnsi="Verdana"/>
          <w:szCs w:val="24"/>
        </w:rPr>
        <w:t>for giving up the practice</w:t>
      </w:r>
      <w:r w:rsidR="0084397B">
        <w:rPr>
          <w:rFonts w:ascii="Verdana" w:hAnsi="Verdana"/>
          <w:szCs w:val="24"/>
        </w:rPr>
        <w:t xml:space="preserve"> and </w:t>
      </w:r>
      <w:r>
        <w:rPr>
          <w:rFonts w:ascii="Verdana" w:hAnsi="Verdana"/>
          <w:szCs w:val="24"/>
        </w:rPr>
        <w:t xml:space="preserve">they are </w:t>
      </w:r>
      <w:r w:rsidR="0084397B">
        <w:rPr>
          <w:rFonts w:ascii="Verdana" w:hAnsi="Verdana"/>
          <w:szCs w:val="24"/>
        </w:rPr>
        <w:t xml:space="preserve">more relevant </w:t>
      </w:r>
      <w:r w:rsidR="005476CF">
        <w:rPr>
          <w:rFonts w:ascii="Verdana" w:hAnsi="Verdana"/>
          <w:szCs w:val="24"/>
        </w:rPr>
        <w:t xml:space="preserve">now </w:t>
      </w:r>
      <w:r w:rsidR="0084397B">
        <w:rPr>
          <w:rFonts w:ascii="Verdana" w:hAnsi="Verdana"/>
          <w:szCs w:val="24"/>
        </w:rPr>
        <w:t xml:space="preserve">than before.  </w:t>
      </w:r>
      <w:r w:rsidR="008066F0" w:rsidRPr="008066F0">
        <w:rPr>
          <w:rFonts w:ascii="Verdana" w:hAnsi="Verdana"/>
          <w:i/>
          <w:szCs w:val="24"/>
        </w:rPr>
        <w:lastRenderedPageBreak/>
        <w:t>“The generation of income, especially non-agriculture income, is a spatially interdependent activity.</w:t>
      </w:r>
      <w:r>
        <w:rPr>
          <w:rFonts w:ascii="Verdana" w:hAnsi="Verdana"/>
          <w:i/>
          <w:szCs w:val="24"/>
        </w:rPr>
        <w:t xml:space="preserve"> </w:t>
      </w:r>
      <w:r w:rsidR="008066F0" w:rsidRPr="008066F0">
        <w:rPr>
          <w:rFonts w:ascii="Verdana" w:hAnsi="Verdana"/>
          <w:i/>
          <w:szCs w:val="24"/>
        </w:rPr>
        <w:t xml:space="preserve">An input being produced in a specific place may be using inputs produced in various other locations. The income generated from the sale of this output also depends on the income of consumers who may be spatially dispersed throughout the country. The country as a whole represents a common economic space and market, and growing interdependence in economic activities has considerably weakened the case of locally originating incomes in the non-agricultural sector.” </w:t>
      </w:r>
    </w:p>
    <w:p w:rsidR="00E720C0" w:rsidRDefault="00DB40A6" w:rsidP="00635437">
      <w:pPr>
        <w:pStyle w:val="NoSpacing"/>
        <w:spacing w:before="240" w:after="120" w:line="480" w:lineRule="auto"/>
        <w:ind w:firstLine="720"/>
        <w:jc w:val="both"/>
        <w:rPr>
          <w:rFonts w:ascii="Verdana" w:hAnsi="Verdana"/>
          <w:szCs w:val="24"/>
        </w:rPr>
      </w:pPr>
      <w:r w:rsidRPr="00016F1B">
        <w:rPr>
          <w:rFonts w:ascii="Verdana" w:hAnsi="Verdana"/>
          <w:szCs w:val="24"/>
        </w:rPr>
        <w:t>The question is "what would the concept of true de</w:t>
      </w:r>
      <w:r w:rsidR="007E5960">
        <w:rPr>
          <w:rFonts w:ascii="Verdana" w:hAnsi="Verdana"/>
          <w:szCs w:val="24"/>
        </w:rPr>
        <w:t xml:space="preserve">volution </w:t>
      </w:r>
      <w:r w:rsidRPr="00016F1B">
        <w:rPr>
          <w:rFonts w:ascii="Verdana" w:hAnsi="Verdana"/>
          <w:szCs w:val="24"/>
        </w:rPr>
        <w:t xml:space="preserve">mean in terms of numbers"?  Dr. Chakraborty </w:t>
      </w:r>
      <w:r w:rsidR="00E720C0">
        <w:rPr>
          <w:rFonts w:ascii="Verdana" w:hAnsi="Verdana"/>
          <w:szCs w:val="24"/>
        </w:rPr>
        <w:t xml:space="preserve">who </w:t>
      </w:r>
      <w:r w:rsidRPr="00016F1B">
        <w:rPr>
          <w:rFonts w:ascii="Verdana" w:hAnsi="Verdana"/>
          <w:szCs w:val="24"/>
        </w:rPr>
        <w:t>has made s</w:t>
      </w:r>
      <w:r w:rsidR="00E720C0">
        <w:rPr>
          <w:rFonts w:ascii="Verdana" w:hAnsi="Verdana"/>
          <w:szCs w:val="24"/>
        </w:rPr>
        <w:t>ome calculations in this regard, states:</w:t>
      </w:r>
    </w:p>
    <w:p w:rsidR="00016F1B" w:rsidRDefault="0066681C" w:rsidP="0007606C">
      <w:pPr>
        <w:pStyle w:val="NoSpacing"/>
        <w:spacing w:before="240" w:after="120" w:line="480" w:lineRule="auto"/>
        <w:ind w:firstLine="720"/>
        <w:jc w:val="both"/>
        <w:rPr>
          <w:rFonts w:ascii="Verdana" w:hAnsi="Verdana"/>
          <w:szCs w:val="24"/>
        </w:rPr>
      </w:pPr>
      <w:r>
        <w:rPr>
          <w:rFonts w:ascii="Verdana" w:hAnsi="Verdana"/>
          <w:i/>
          <w:szCs w:val="24"/>
        </w:rPr>
        <w:t>"I</w:t>
      </w:r>
      <w:r w:rsidR="00461915">
        <w:rPr>
          <w:rFonts w:ascii="Verdana" w:hAnsi="Verdana"/>
          <w:i/>
          <w:szCs w:val="24"/>
        </w:rPr>
        <w:t>f ‘true devolution</w:t>
      </w:r>
      <w:r w:rsidR="00E02A7B">
        <w:rPr>
          <w:rFonts w:ascii="Verdana" w:hAnsi="Verdana"/>
          <w:i/>
          <w:szCs w:val="24"/>
        </w:rPr>
        <w:t>’</w:t>
      </w:r>
      <w:r w:rsidR="00016F1B" w:rsidRPr="00016F1B">
        <w:rPr>
          <w:rFonts w:ascii="Verdana" w:hAnsi="Verdana"/>
          <w:i/>
          <w:szCs w:val="24"/>
        </w:rPr>
        <w:t xml:space="preserve"> is introduced, 10 richer States would claim 62.83 per cent and the shares of those at the bottom ladder of per-capita income would be reduced to 37.18 per cent. </w:t>
      </w:r>
      <w:proofErr w:type="gramStart"/>
      <w:r w:rsidR="00016F1B" w:rsidRPr="00016F1B">
        <w:rPr>
          <w:rFonts w:ascii="Verdana" w:hAnsi="Verdana"/>
          <w:i/>
          <w:szCs w:val="24"/>
        </w:rPr>
        <w:t xml:space="preserve">Even a fraction of tax devolution by way of so called </w:t>
      </w:r>
      <w:r w:rsidR="00E02A7B">
        <w:rPr>
          <w:rFonts w:ascii="Verdana" w:hAnsi="Verdana"/>
          <w:i/>
          <w:szCs w:val="24"/>
        </w:rPr>
        <w:t>`</w:t>
      </w:r>
      <w:r w:rsidR="00016F1B" w:rsidRPr="00016F1B">
        <w:rPr>
          <w:rFonts w:ascii="Verdana" w:hAnsi="Verdana"/>
          <w:i/>
          <w:szCs w:val="24"/>
        </w:rPr>
        <w:t>true devolution</w:t>
      </w:r>
      <w:r w:rsidR="00E02A7B">
        <w:rPr>
          <w:rFonts w:ascii="Verdana" w:hAnsi="Verdana"/>
          <w:i/>
          <w:szCs w:val="24"/>
        </w:rPr>
        <w:t>’</w:t>
      </w:r>
      <w:r w:rsidR="00016F1B" w:rsidRPr="00016F1B">
        <w:rPr>
          <w:rFonts w:ascii="Verdana" w:hAnsi="Verdana"/>
          <w:i/>
          <w:szCs w:val="24"/>
        </w:rPr>
        <w:t xml:space="preserve"> would mean significant erosion of the principle of offsetting revenue disability</w:t>
      </w:r>
      <w:r w:rsidR="00016F1B" w:rsidRPr="00016F1B">
        <w:rPr>
          <w:rFonts w:ascii="Verdana" w:hAnsi="Verdana"/>
          <w:szCs w:val="24"/>
        </w:rPr>
        <w:t>.</w:t>
      </w:r>
      <w:r w:rsidR="00461915">
        <w:rPr>
          <w:rFonts w:ascii="Verdana" w:hAnsi="Verdana"/>
          <w:szCs w:val="24"/>
        </w:rPr>
        <w:t>"</w:t>
      </w:r>
      <w:proofErr w:type="gramEnd"/>
    </w:p>
    <w:p w:rsidR="0025733F" w:rsidRDefault="007548A6" w:rsidP="0025733F">
      <w:pPr>
        <w:pStyle w:val="NoSpacing"/>
        <w:spacing w:before="120" w:after="120" w:line="480" w:lineRule="auto"/>
        <w:ind w:firstLine="720"/>
        <w:jc w:val="both"/>
        <w:rPr>
          <w:rFonts w:ascii="Verdana" w:hAnsi="Verdana"/>
        </w:rPr>
      </w:pPr>
      <w:r>
        <w:rPr>
          <w:rFonts w:ascii="Verdana" w:hAnsi="Verdana"/>
          <w:szCs w:val="24"/>
        </w:rPr>
        <w:t>T</w:t>
      </w:r>
      <w:r w:rsidR="00683F46">
        <w:rPr>
          <w:rFonts w:ascii="Verdana" w:hAnsi="Verdana"/>
          <w:szCs w:val="24"/>
        </w:rPr>
        <w:t xml:space="preserve">he acceptance of the true </w:t>
      </w:r>
      <w:r w:rsidR="007C08BF">
        <w:rPr>
          <w:rFonts w:ascii="Verdana" w:hAnsi="Verdana"/>
          <w:szCs w:val="24"/>
        </w:rPr>
        <w:t xml:space="preserve">devolution </w:t>
      </w:r>
      <w:r w:rsidR="00683F46">
        <w:rPr>
          <w:rFonts w:ascii="Verdana" w:hAnsi="Verdana"/>
          <w:szCs w:val="24"/>
        </w:rPr>
        <w:t>concept</w:t>
      </w:r>
      <w:r w:rsidR="00C94700">
        <w:rPr>
          <w:rFonts w:ascii="Verdana" w:hAnsi="Verdana"/>
          <w:szCs w:val="24"/>
        </w:rPr>
        <w:t xml:space="preserve"> has spillover e</w:t>
      </w:r>
      <w:r>
        <w:rPr>
          <w:rFonts w:ascii="Verdana" w:hAnsi="Verdana"/>
          <w:szCs w:val="24"/>
        </w:rPr>
        <w:t>ffects on grants</w:t>
      </w:r>
      <w:r w:rsidR="00683F46">
        <w:rPr>
          <w:rFonts w:ascii="Verdana" w:hAnsi="Verdana"/>
          <w:szCs w:val="24"/>
        </w:rPr>
        <w:t xml:space="preserve">.  </w:t>
      </w:r>
      <w:r w:rsidR="00BD2774">
        <w:rPr>
          <w:rFonts w:ascii="Verdana" w:hAnsi="Verdana"/>
          <w:szCs w:val="24"/>
        </w:rPr>
        <w:t>B</w:t>
      </w:r>
      <w:r w:rsidR="0025733F" w:rsidRPr="00DD7A40">
        <w:rPr>
          <w:rFonts w:ascii="Verdana" w:hAnsi="Verdana"/>
        </w:rPr>
        <w:t>urden of offsetting the disabilities will</w:t>
      </w:r>
      <w:r w:rsidR="00262B3B">
        <w:rPr>
          <w:rFonts w:ascii="Verdana" w:hAnsi="Verdana"/>
        </w:rPr>
        <w:t xml:space="preserve"> </w:t>
      </w:r>
      <w:r w:rsidR="0025733F" w:rsidRPr="00DD7A40">
        <w:rPr>
          <w:rFonts w:ascii="Verdana" w:hAnsi="Verdana"/>
        </w:rPr>
        <w:t>fall on the grants</w:t>
      </w:r>
      <w:r w:rsidR="00BD2774">
        <w:rPr>
          <w:rFonts w:ascii="Verdana" w:hAnsi="Verdana"/>
        </w:rPr>
        <w:t xml:space="preserve"> </w:t>
      </w:r>
      <w:r w:rsidR="00BD2774" w:rsidRPr="00DD7A40">
        <w:rPr>
          <w:rFonts w:ascii="Verdana" w:hAnsi="Verdana"/>
        </w:rPr>
        <w:t xml:space="preserve">if the </w:t>
      </w:r>
      <w:r w:rsidR="006C525D" w:rsidRPr="00DD7A40">
        <w:rPr>
          <w:rFonts w:ascii="Verdana" w:hAnsi="Verdana"/>
        </w:rPr>
        <w:t xml:space="preserve">principle </w:t>
      </w:r>
      <w:r w:rsidR="006C525D">
        <w:rPr>
          <w:rFonts w:ascii="Verdana" w:hAnsi="Verdana"/>
        </w:rPr>
        <w:t>of</w:t>
      </w:r>
      <w:r w:rsidR="000231B5">
        <w:rPr>
          <w:rFonts w:ascii="Verdana" w:hAnsi="Verdana"/>
        </w:rPr>
        <w:t xml:space="preserve"> </w:t>
      </w:r>
      <w:r w:rsidR="00BD2774" w:rsidRPr="00DD7A40">
        <w:rPr>
          <w:rFonts w:ascii="Verdana" w:hAnsi="Verdana"/>
        </w:rPr>
        <w:t xml:space="preserve">offsetting revenue disabilities is diluted </w:t>
      </w:r>
      <w:r w:rsidR="00262B3B">
        <w:rPr>
          <w:rFonts w:ascii="Verdana" w:hAnsi="Verdana"/>
        </w:rPr>
        <w:t xml:space="preserve">once </w:t>
      </w:r>
      <w:r w:rsidR="005476CF">
        <w:rPr>
          <w:rFonts w:ascii="Verdana" w:hAnsi="Verdana"/>
        </w:rPr>
        <w:t>the pr</w:t>
      </w:r>
      <w:r w:rsidR="00817606">
        <w:rPr>
          <w:rFonts w:ascii="Verdana" w:hAnsi="Verdana"/>
        </w:rPr>
        <w:t xml:space="preserve">inciple </w:t>
      </w:r>
      <w:r w:rsidR="005476CF">
        <w:rPr>
          <w:rFonts w:ascii="Verdana" w:hAnsi="Verdana"/>
        </w:rPr>
        <w:t xml:space="preserve">of true devolution is accepted. </w:t>
      </w:r>
      <w:r w:rsidR="0025733F" w:rsidRPr="00DD7A40">
        <w:rPr>
          <w:rFonts w:ascii="Verdana" w:hAnsi="Verdana"/>
        </w:rPr>
        <w:t xml:space="preserve"> </w:t>
      </w:r>
    </w:p>
    <w:p w:rsidR="00791F4C" w:rsidRDefault="00E00F3C" w:rsidP="007C08BF">
      <w:pPr>
        <w:pStyle w:val="NoSpacing"/>
        <w:spacing w:before="240" w:after="120" w:line="480" w:lineRule="auto"/>
        <w:ind w:firstLine="720"/>
        <w:jc w:val="both"/>
        <w:rPr>
          <w:rFonts w:ascii="Verdana" w:eastAsia="Times New Roman" w:hAnsi="Verdana" w:cs="Arial"/>
          <w:color w:val="222222"/>
        </w:rPr>
      </w:pPr>
      <w:r>
        <w:rPr>
          <w:rFonts w:ascii="Verdana" w:hAnsi="Verdana"/>
        </w:rPr>
        <w:t>T</w:t>
      </w:r>
      <w:r w:rsidR="007C08BF">
        <w:rPr>
          <w:rFonts w:ascii="Verdana" w:hAnsi="Verdana"/>
        </w:rPr>
        <w:t xml:space="preserve">he second pot, namely, </w:t>
      </w:r>
      <w:r w:rsidR="005E7D84" w:rsidRPr="00186117">
        <w:rPr>
          <w:rFonts w:ascii="Verdana" w:eastAsia="Times New Roman" w:hAnsi="Verdana" w:cs="Arial"/>
          <w:color w:val="222222"/>
        </w:rPr>
        <w:t xml:space="preserve">the redistribution pot </w:t>
      </w:r>
      <w:r w:rsidR="0073714F">
        <w:rPr>
          <w:rFonts w:ascii="Verdana" w:eastAsia="Times New Roman" w:hAnsi="Verdana" w:cs="Arial"/>
          <w:color w:val="222222"/>
        </w:rPr>
        <w:t>is expected to balance</w:t>
      </w:r>
      <w:r w:rsidR="005E7D84" w:rsidRPr="00186117">
        <w:rPr>
          <w:rFonts w:ascii="Verdana" w:eastAsia="Times New Roman" w:hAnsi="Verdana" w:cs="Arial"/>
          <w:color w:val="222222"/>
        </w:rPr>
        <w:t xml:space="preserve"> the short-term need to </w:t>
      </w:r>
      <w:proofErr w:type="spellStart"/>
      <w:r w:rsidR="005E7D84" w:rsidRPr="00186117">
        <w:rPr>
          <w:rFonts w:ascii="Verdana" w:eastAsia="Times New Roman" w:hAnsi="Verdana" w:cs="Arial"/>
          <w:color w:val="222222"/>
        </w:rPr>
        <w:t>equalise</w:t>
      </w:r>
      <w:proofErr w:type="spellEnd"/>
      <w:r w:rsidR="005E7D84" w:rsidRPr="00186117">
        <w:rPr>
          <w:rFonts w:ascii="Verdana" w:eastAsia="Times New Roman" w:hAnsi="Verdana" w:cs="Arial"/>
          <w:color w:val="222222"/>
        </w:rPr>
        <w:t xml:space="preserve"> without denting the long-term incentive for revenue generation.  </w:t>
      </w:r>
      <w:r w:rsidR="0073714F">
        <w:rPr>
          <w:rFonts w:ascii="Verdana" w:eastAsia="Times New Roman" w:hAnsi="Verdana" w:cs="Arial"/>
          <w:color w:val="222222"/>
        </w:rPr>
        <w:t>Obviously</w:t>
      </w:r>
      <w:r w:rsidR="00791F4C">
        <w:rPr>
          <w:rFonts w:ascii="Verdana" w:eastAsia="Times New Roman" w:hAnsi="Verdana" w:cs="Arial"/>
          <w:color w:val="222222"/>
        </w:rPr>
        <w:t>,</w:t>
      </w:r>
      <w:r w:rsidR="0073714F">
        <w:rPr>
          <w:rFonts w:ascii="Verdana" w:eastAsia="Times New Roman" w:hAnsi="Verdana" w:cs="Arial"/>
          <w:color w:val="222222"/>
        </w:rPr>
        <w:t xml:space="preserve"> the incentive for revenue generation </w:t>
      </w:r>
      <w:r w:rsidR="005E7D84" w:rsidRPr="00186117">
        <w:rPr>
          <w:rFonts w:ascii="Verdana" w:eastAsia="Times New Roman" w:hAnsi="Verdana" w:cs="Arial"/>
          <w:color w:val="222222"/>
        </w:rPr>
        <w:t>requires performance indicators to be included in the tax devolution criteria.  The experience so far is not encouraging in this regard</w:t>
      </w:r>
      <w:r w:rsidR="00B217FB" w:rsidRPr="00186117">
        <w:rPr>
          <w:rFonts w:ascii="Verdana" w:eastAsia="Times New Roman" w:hAnsi="Verdana" w:cs="Arial"/>
          <w:color w:val="222222"/>
        </w:rPr>
        <w:t xml:space="preserve"> as explained below.</w:t>
      </w:r>
    </w:p>
    <w:p w:rsidR="005E7D84" w:rsidRPr="007C08BF" w:rsidRDefault="005E7D84" w:rsidP="007C08BF">
      <w:pPr>
        <w:pStyle w:val="NoSpacing"/>
        <w:spacing w:before="240" w:after="120" w:line="480" w:lineRule="auto"/>
        <w:ind w:firstLine="720"/>
        <w:jc w:val="both"/>
        <w:rPr>
          <w:rFonts w:ascii="Verdana" w:hAnsi="Verdana"/>
        </w:rPr>
      </w:pPr>
      <w:r w:rsidRPr="00186117">
        <w:rPr>
          <w:rFonts w:ascii="Verdana" w:eastAsia="Times New Roman" w:hAnsi="Verdana" w:cs="Arial"/>
          <w:color w:val="222222"/>
        </w:rPr>
        <w:lastRenderedPageBreak/>
        <w:t xml:space="preserve">  </w:t>
      </w:r>
    </w:p>
    <w:p w:rsidR="00C04123" w:rsidRPr="00C04123" w:rsidRDefault="003205CD" w:rsidP="00C04123">
      <w:pPr>
        <w:spacing w:before="240" w:after="0" w:line="480" w:lineRule="auto"/>
        <w:jc w:val="both"/>
        <w:rPr>
          <w:rFonts w:ascii="Verdana" w:eastAsia="Times New Roman" w:hAnsi="Verdana" w:cs="Arial"/>
          <w:color w:val="222222"/>
          <w:lang w:val="en-US"/>
        </w:rPr>
      </w:pPr>
      <w:r>
        <w:rPr>
          <w:rFonts w:ascii="Verdana" w:eastAsia="Times New Roman" w:hAnsi="Verdana" w:cs="Arial"/>
          <w:b/>
          <w:color w:val="222222"/>
          <w:u w:val="single"/>
          <w:lang w:val="en-US"/>
        </w:rPr>
        <w:t xml:space="preserve">Fiscal </w:t>
      </w:r>
      <w:r w:rsidR="00C04123">
        <w:rPr>
          <w:rFonts w:ascii="Verdana" w:eastAsia="Times New Roman" w:hAnsi="Verdana" w:cs="Arial"/>
          <w:b/>
          <w:color w:val="222222"/>
          <w:u w:val="single"/>
          <w:lang w:val="en-US"/>
        </w:rPr>
        <w:t>Performance Indi</w:t>
      </w:r>
      <w:r w:rsidR="000231B5">
        <w:rPr>
          <w:rFonts w:ascii="Verdana" w:eastAsia="Times New Roman" w:hAnsi="Verdana" w:cs="Arial"/>
          <w:b/>
          <w:color w:val="222222"/>
          <w:u w:val="single"/>
          <w:lang w:val="en-US"/>
        </w:rPr>
        <w:t>cators and T</w:t>
      </w:r>
      <w:r w:rsidR="00C04123">
        <w:rPr>
          <w:rFonts w:ascii="Verdana" w:eastAsia="Times New Roman" w:hAnsi="Verdana" w:cs="Arial"/>
          <w:b/>
          <w:color w:val="222222"/>
          <w:u w:val="single"/>
          <w:lang w:val="en-US"/>
        </w:rPr>
        <w:t xml:space="preserve">ax </w:t>
      </w:r>
      <w:r w:rsidR="000231B5">
        <w:rPr>
          <w:rFonts w:ascii="Verdana" w:eastAsia="Times New Roman" w:hAnsi="Verdana" w:cs="Arial"/>
          <w:b/>
          <w:color w:val="222222"/>
          <w:u w:val="single"/>
          <w:lang w:val="en-US"/>
        </w:rPr>
        <w:t>D</w:t>
      </w:r>
      <w:r w:rsidR="00C04123">
        <w:rPr>
          <w:rFonts w:ascii="Verdana" w:eastAsia="Times New Roman" w:hAnsi="Verdana" w:cs="Arial"/>
          <w:b/>
          <w:color w:val="222222"/>
          <w:u w:val="single"/>
          <w:lang w:val="en-US"/>
        </w:rPr>
        <w:t>evolution: Experience</w:t>
      </w:r>
      <w:r w:rsidR="00C04123">
        <w:rPr>
          <w:rFonts w:ascii="Verdana" w:eastAsia="Times New Roman" w:hAnsi="Verdana" w:cs="Arial"/>
          <w:color w:val="222222"/>
          <w:lang w:val="en-US"/>
        </w:rPr>
        <w:t xml:space="preserve"> </w:t>
      </w:r>
    </w:p>
    <w:p w:rsidR="005E7D84" w:rsidRPr="005E7D84" w:rsidRDefault="005E7D84" w:rsidP="00C04123">
      <w:pPr>
        <w:spacing w:line="480" w:lineRule="auto"/>
        <w:ind w:firstLine="720"/>
        <w:jc w:val="both"/>
        <w:rPr>
          <w:rFonts w:ascii="Verdana" w:hAnsi="Verdana"/>
        </w:rPr>
      </w:pPr>
      <w:r w:rsidRPr="005E7D84">
        <w:rPr>
          <w:rFonts w:ascii="Verdana" w:hAnsi="Verdana"/>
        </w:rPr>
        <w:t xml:space="preserve">Till the tenth Finance Commission, performance indicators were not included in the criteria for tax devolution. The Tenth was the first Commission to have assigned a weight of 10 per cent to tax effort in the devolution criteria of both income tax and Union excise duties. </w:t>
      </w:r>
    </w:p>
    <w:p w:rsidR="005E7D84" w:rsidRPr="005E7D84" w:rsidRDefault="005E7D84" w:rsidP="005E7D84">
      <w:pPr>
        <w:spacing w:before="240" w:line="480" w:lineRule="auto"/>
        <w:ind w:firstLine="720"/>
        <w:jc w:val="both"/>
        <w:rPr>
          <w:rFonts w:ascii="Verdana" w:hAnsi="Verdana"/>
        </w:rPr>
      </w:pPr>
      <w:r w:rsidRPr="005E7D84">
        <w:rPr>
          <w:rFonts w:ascii="Verdana" w:hAnsi="Verdana"/>
        </w:rPr>
        <w:t xml:space="preserve">The ToR of the Eleventh Commission made an explicit reference to </w:t>
      </w:r>
      <w:r w:rsidRPr="005E7D84">
        <w:rPr>
          <w:rFonts w:ascii="Verdana" w:hAnsi="Verdana"/>
          <w:i/>
        </w:rPr>
        <w:t xml:space="preserve">‘incentives that need to be provided </w:t>
      </w:r>
      <w:r w:rsidR="00791F4C">
        <w:rPr>
          <w:rFonts w:ascii="Verdana" w:hAnsi="Verdana"/>
          <w:i/>
        </w:rPr>
        <w:t xml:space="preserve">for </w:t>
      </w:r>
      <w:r w:rsidRPr="005E7D84">
        <w:rPr>
          <w:rFonts w:ascii="Verdana" w:hAnsi="Verdana"/>
          <w:i/>
        </w:rPr>
        <w:t>better utilization of tax and non-tax revenues’.</w:t>
      </w:r>
      <w:r w:rsidRPr="005E7D84">
        <w:rPr>
          <w:rFonts w:ascii="Verdana" w:hAnsi="Verdana"/>
        </w:rPr>
        <w:t xml:space="preserve"> While continuing with tax effort as a criterion, the Commission reduced its weight to 5 per cent.  However, the Commission introduced a new criterion of ‘Fiscal Discipline’ in the devolution formula.  The Commission assigned a weight of 7.5 per cent </w:t>
      </w:r>
      <w:r w:rsidR="00791F4C">
        <w:rPr>
          <w:rFonts w:ascii="Verdana" w:hAnsi="Verdana"/>
        </w:rPr>
        <w:t xml:space="preserve">to the </w:t>
      </w:r>
      <w:r w:rsidRPr="005E7D84">
        <w:rPr>
          <w:rFonts w:ascii="Verdana" w:hAnsi="Verdana"/>
        </w:rPr>
        <w:t xml:space="preserve">index of fiscal discipline. </w:t>
      </w:r>
    </w:p>
    <w:p w:rsidR="005E7D84" w:rsidRPr="005E7D84" w:rsidRDefault="00A27E8F" w:rsidP="00096B10">
      <w:pPr>
        <w:autoSpaceDE w:val="0"/>
        <w:autoSpaceDN w:val="0"/>
        <w:adjustRightInd w:val="0"/>
        <w:spacing w:before="240" w:after="0" w:line="480" w:lineRule="auto"/>
        <w:ind w:firstLine="720"/>
        <w:jc w:val="both"/>
        <w:rPr>
          <w:rFonts w:ascii="Verdana" w:hAnsi="Verdana" w:cs="Times New Roman"/>
        </w:rPr>
      </w:pPr>
      <w:r>
        <w:rPr>
          <w:rFonts w:ascii="Verdana" w:hAnsi="Verdana" w:cs="Times New Roman"/>
        </w:rPr>
        <w:t>T</w:t>
      </w:r>
      <w:r w:rsidR="005E7D84" w:rsidRPr="005E7D84">
        <w:rPr>
          <w:rFonts w:ascii="Verdana" w:hAnsi="Verdana" w:cs="Times New Roman"/>
        </w:rPr>
        <w:t xml:space="preserve">he Twelfth Commission </w:t>
      </w:r>
      <w:r>
        <w:rPr>
          <w:rFonts w:ascii="Verdana" w:hAnsi="Verdana" w:cs="Times New Roman"/>
        </w:rPr>
        <w:t xml:space="preserve">made no change except that it </w:t>
      </w:r>
      <w:r w:rsidR="005E7D84" w:rsidRPr="005E7D84">
        <w:rPr>
          <w:rFonts w:ascii="Verdana" w:hAnsi="Verdana" w:cs="Times New Roman"/>
        </w:rPr>
        <w:t>raised the weight assigned to tax effort from 5 per cent to 7.5 per cent.  The Thirteenth Finance Commission dropp</w:t>
      </w:r>
      <w:r w:rsidR="00F17C11">
        <w:rPr>
          <w:rFonts w:ascii="Verdana" w:hAnsi="Verdana" w:cs="Times New Roman"/>
        </w:rPr>
        <w:t>ed the criterion of tax effort, but</w:t>
      </w:r>
      <w:r w:rsidR="005E7D84" w:rsidRPr="005E7D84">
        <w:rPr>
          <w:rFonts w:ascii="Verdana" w:hAnsi="Verdana" w:cs="Times New Roman"/>
        </w:rPr>
        <w:t xml:space="preserve"> felt that there was a strong case to incentivize states following fiscal prudence. The Commission assigned a weight of 17.5 per cent to fiscal discipline</w:t>
      </w:r>
      <w:r w:rsidR="00002EC4">
        <w:rPr>
          <w:rFonts w:ascii="Verdana" w:hAnsi="Verdana" w:cs="Times New Roman"/>
        </w:rPr>
        <w:t>. Under this criterion, if all S</w:t>
      </w:r>
      <w:r w:rsidR="005E7D84" w:rsidRPr="005E7D84">
        <w:rPr>
          <w:rFonts w:ascii="Verdana" w:hAnsi="Verdana" w:cs="Times New Roman"/>
        </w:rPr>
        <w:t xml:space="preserve">tates had improved their respective ratios of own revenue to total revenue expenditure, then the </w:t>
      </w:r>
      <w:r w:rsidR="006B4C6A">
        <w:rPr>
          <w:rFonts w:ascii="Verdana" w:hAnsi="Verdana" w:cs="Times New Roman"/>
        </w:rPr>
        <w:t>S</w:t>
      </w:r>
      <w:r w:rsidR="005E7D84" w:rsidRPr="005E7D84">
        <w:rPr>
          <w:rFonts w:ascii="Verdana" w:hAnsi="Verdana" w:cs="Times New Roman"/>
        </w:rPr>
        <w:t xml:space="preserve">tates with relatively higher improvement than the average </w:t>
      </w:r>
      <w:proofErr w:type="gramStart"/>
      <w:r w:rsidR="006C525D" w:rsidRPr="005E7D84">
        <w:rPr>
          <w:rFonts w:ascii="Verdana" w:hAnsi="Verdana" w:cs="Times New Roman"/>
        </w:rPr>
        <w:t>receive</w:t>
      </w:r>
      <w:proofErr w:type="gramEnd"/>
      <w:r w:rsidR="005E7D84" w:rsidRPr="005E7D84">
        <w:rPr>
          <w:rFonts w:ascii="Verdana" w:hAnsi="Verdana" w:cs="Times New Roman"/>
        </w:rPr>
        <w:t xml:space="preserve"> higher transfers.</w:t>
      </w:r>
      <w:r w:rsidR="00096B10">
        <w:rPr>
          <w:rFonts w:ascii="Verdana" w:hAnsi="Verdana" w:cs="Times New Roman"/>
        </w:rPr>
        <w:t xml:space="preserve">  </w:t>
      </w:r>
      <w:r w:rsidR="005E7D84" w:rsidRPr="005E7D84">
        <w:rPr>
          <w:rFonts w:ascii="Verdana" w:hAnsi="Verdana" w:cs="Times New Roman"/>
        </w:rPr>
        <w:t>The Fourteenth Finance Commission did not assign any weight to performance indicators.</w:t>
      </w:r>
    </w:p>
    <w:p w:rsidR="005E7D84" w:rsidRPr="0073714F" w:rsidRDefault="005E7D84" w:rsidP="005E7D84">
      <w:pPr>
        <w:autoSpaceDE w:val="0"/>
        <w:autoSpaceDN w:val="0"/>
        <w:adjustRightInd w:val="0"/>
        <w:spacing w:before="240" w:after="0" w:line="480" w:lineRule="auto"/>
        <w:ind w:firstLine="720"/>
        <w:jc w:val="both"/>
        <w:rPr>
          <w:rFonts w:ascii="Verdana" w:hAnsi="Verdana" w:cs="Times New Roman"/>
        </w:rPr>
      </w:pPr>
      <w:r w:rsidRPr="0073714F">
        <w:rPr>
          <w:rFonts w:ascii="Verdana" w:hAnsi="Verdana" w:cs="Times New Roman"/>
        </w:rPr>
        <w:t xml:space="preserve">The issues to be considered in pursuing the idea of incentives for fiscal performance are as follows.  First, as the 13th Finance Commission made it clear, </w:t>
      </w:r>
      <w:r w:rsidRPr="0073714F">
        <w:rPr>
          <w:rFonts w:ascii="Verdana" w:hAnsi="Verdana" w:cs="Times New Roman"/>
        </w:rPr>
        <w:lastRenderedPageBreak/>
        <w:t>forward looking indicators are not feasible, and hence the dispensation is in the nature of a reward</w:t>
      </w:r>
      <w:r w:rsidR="00262B3B" w:rsidRPr="0073714F">
        <w:rPr>
          <w:rFonts w:ascii="Verdana" w:hAnsi="Verdana" w:cs="Times New Roman"/>
        </w:rPr>
        <w:t xml:space="preserve"> for past performance. This does not ensure future performance. Also there is no assurance of reward</w:t>
      </w:r>
      <w:r w:rsidR="00F17C11">
        <w:rPr>
          <w:rFonts w:ascii="Verdana" w:hAnsi="Verdana" w:cs="Times New Roman"/>
        </w:rPr>
        <w:t xml:space="preserve"> for performance</w:t>
      </w:r>
      <w:r w:rsidR="00262B3B" w:rsidRPr="0073714F">
        <w:rPr>
          <w:rFonts w:ascii="Verdana" w:hAnsi="Verdana" w:cs="Times New Roman"/>
        </w:rPr>
        <w:t xml:space="preserve"> on a sustained basis. It would depend on the horizontal sharing formula </w:t>
      </w:r>
      <w:r w:rsidR="00321F08">
        <w:rPr>
          <w:rFonts w:ascii="Verdana" w:hAnsi="Verdana" w:cs="Times New Roman"/>
        </w:rPr>
        <w:t xml:space="preserve">adopted by successive </w:t>
      </w:r>
      <w:r w:rsidR="00262B3B" w:rsidRPr="0073714F">
        <w:rPr>
          <w:rFonts w:ascii="Verdana" w:hAnsi="Verdana" w:cs="Times New Roman"/>
        </w:rPr>
        <w:t>Finance Commission</w:t>
      </w:r>
      <w:r w:rsidR="008E3AB4">
        <w:rPr>
          <w:rFonts w:ascii="Verdana" w:hAnsi="Verdana" w:cs="Times New Roman"/>
        </w:rPr>
        <w:t>s</w:t>
      </w:r>
      <w:r w:rsidR="00262B3B" w:rsidRPr="0073714F">
        <w:rPr>
          <w:rFonts w:ascii="Verdana" w:hAnsi="Verdana" w:cs="Times New Roman"/>
        </w:rPr>
        <w:t xml:space="preserve">. </w:t>
      </w:r>
      <w:r w:rsidR="004E3355">
        <w:rPr>
          <w:rFonts w:ascii="Verdana" w:hAnsi="Verdana" w:cs="Times New Roman"/>
        </w:rPr>
        <w:t xml:space="preserve"> </w:t>
      </w:r>
      <w:r w:rsidR="00F17C11">
        <w:rPr>
          <w:rFonts w:ascii="Verdana" w:hAnsi="Verdana" w:cs="Times New Roman"/>
        </w:rPr>
        <w:t>Second</w:t>
      </w:r>
      <w:r w:rsidR="000B1BBF">
        <w:rPr>
          <w:rFonts w:ascii="Verdana" w:hAnsi="Verdana" w:cs="Times New Roman"/>
        </w:rPr>
        <w:t>,</w:t>
      </w:r>
      <w:r w:rsidRPr="0073714F">
        <w:rPr>
          <w:rFonts w:ascii="Verdana" w:hAnsi="Verdana" w:cs="Times New Roman"/>
        </w:rPr>
        <w:t xml:space="preserve"> there</w:t>
      </w:r>
      <w:r w:rsidR="000B1BBF">
        <w:rPr>
          <w:rFonts w:ascii="Verdana" w:hAnsi="Verdana" w:cs="Times New Roman"/>
        </w:rPr>
        <w:t xml:space="preserve"> is no</w:t>
      </w:r>
      <w:r w:rsidRPr="0073714F">
        <w:rPr>
          <w:rFonts w:ascii="Verdana" w:hAnsi="Verdana" w:cs="Times New Roman"/>
        </w:rPr>
        <w:t xml:space="preserve"> empirical evidence </w:t>
      </w:r>
      <w:r w:rsidR="003C0410">
        <w:rPr>
          <w:rFonts w:ascii="Verdana" w:hAnsi="Verdana" w:cs="Times New Roman"/>
        </w:rPr>
        <w:t>that the incentives</w:t>
      </w:r>
      <w:r w:rsidR="000B1BBF">
        <w:rPr>
          <w:rFonts w:ascii="Verdana" w:hAnsi="Verdana" w:cs="Times New Roman"/>
        </w:rPr>
        <w:t xml:space="preserve"> have worked.</w:t>
      </w:r>
      <w:r w:rsidRPr="0073714F">
        <w:rPr>
          <w:rFonts w:ascii="Verdana" w:hAnsi="Verdana" w:cs="Times New Roman"/>
        </w:rPr>
        <w:t xml:space="preserve">  </w:t>
      </w:r>
      <w:r w:rsidR="005B50C7">
        <w:rPr>
          <w:rFonts w:ascii="Verdana" w:hAnsi="Verdana" w:cs="Times New Roman"/>
        </w:rPr>
        <w:t>Third</w:t>
      </w:r>
      <w:r w:rsidRPr="0073714F">
        <w:rPr>
          <w:rFonts w:ascii="Verdana" w:hAnsi="Verdana" w:cs="Times New Roman"/>
        </w:rPr>
        <w:t xml:space="preserve">, it </w:t>
      </w:r>
      <w:r w:rsidR="000B1BBF">
        <w:rPr>
          <w:rFonts w:ascii="Verdana" w:hAnsi="Verdana" w:cs="Times New Roman"/>
        </w:rPr>
        <w:t xml:space="preserve">may be </w:t>
      </w:r>
      <w:r w:rsidRPr="0073714F">
        <w:rPr>
          <w:rFonts w:ascii="Verdana" w:hAnsi="Verdana" w:cs="Times New Roman"/>
        </w:rPr>
        <w:t xml:space="preserve">better for the Union Government to devise such incentives outside the </w:t>
      </w:r>
      <w:r w:rsidR="008E4A06">
        <w:rPr>
          <w:rFonts w:ascii="Verdana" w:hAnsi="Verdana" w:cs="Times New Roman"/>
        </w:rPr>
        <w:t xml:space="preserve">framework of Finance Commission to ensure continuity and stability in incentive framework.  </w:t>
      </w:r>
      <w:r w:rsidRPr="0073714F">
        <w:rPr>
          <w:rFonts w:ascii="Verdana" w:hAnsi="Verdana" w:cs="Times New Roman"/>
        </w:rPr>
        <w:t xml:space="preserve">  </w:t>
      </w:r>
    </w:p>
    <w:p w:rsidR="009F1966" w:rsidRDefault="005E7D84" w:rsidP="005E7D84">
      <w:pPr>
        <w:spacing w:before="240" w:after="0" w:line="480" w:lineRule="auto"/>
        <w:jc w:val="both"/>
        <w:rPr>
          <w:rFonts w:ascii="Verdana" w:eastAsia="Times New Roman" w:hAnsi="Verdana" w:cs="Arial"/>
          <w:color w:val="222222"/>
          <w:lang w:val="en-US"/>
        </w:rPr>
      </w:pPr>
      <w:r w:rsidRPr="005E7D84">
        <w:rPr>
          <w:rFonts w:ascii="Verdana" w:eastAsia="Times New Roman" w:hAnsi="Verdana" w:cs="Arial"/>
          <w:color w:val="222222"/>
          <w:lang w:val="en-US"/>
        </w:rPr>
        <w:tab/>
        <w:t xml:space="preserve">With regard to the third pot, which is risk sharing, </w:t>
      </w:r>
      <w:r w:rsidR="00B80AE5">
        <w:rPr>
          <w:rFonts w:ascii="Verdana" w:eastAsia="Times New Roman" w:hAnsi="Verdana" w:cs="Arial"/>
          <w:color w:val="222222"/>
          <w:lang w:val="en-US"/>
        </w:rPr>
        <w:t>there are several options.  But, do they fall in tax sharing or grants?</w:t>
      </w:r>
      <w:r w:rsidR="00BE15BB">
        <w:rPr>
          <w:rFonts w:ascii="Verdana" w:eastAsia="Times New Roman" w:hAnsi="Verdana" w:cs="Arial"/>
          <w:color w:val="222222"/>
          <w:lang w:val="en-US"/>
        </w:rPr>
        <w:t xml:space="preserve">  </w:t>
      </w:r>
      <w:r w:rsidRPr="005E7D84">
        <w:rPr>
          <w:rFonts w:ascii="Verdana" w:eastAsia="Times New Roman" w:hAnsi="Verdana" w:cs="Arial"/>
          <w:color w:val="222222"/>
          <w:lang w:val="en-US"/>
        </w:rPr>
        <w:t>How would it be different from the current arrangements in regard to national calamity fund</w:t>
      </w:r>
      <w:r w:rsidR="00B217FB">
        <w:rPr>
          <w:rFonts w:ascii="Verdana" w:eastAsia="Times New Roman" w:hAnsi="Verdana" w:cs="Arial"/>
          <w:color w:val="222222"/>
          <w:lang w:val="en-US"/>
        </w:rPr>
        <w:t>?</w:t>
      </w:r>
      <w:r w:rsidRPr="005E7D84">
        <w:rPr>
          <w:rFonts w:ascii="Verdana" w:eastAsia="Times New Roman" w:hAnsi="Verdana" w:cs="Arial"/>
          <w:color w:val="222222"/>
          <w:lang w:val="en-US"/>
        </w:rPr>
        <w:t xml:space="preserve">  </w:t>
      </w:r>
    </w:p>
    <w:p w:rsidR="00391B04" w:rsidRDefault="005E7D84" w:rsidP="009F1966">
      <w:pPr>
        <w:spacing w:before="240" w:after="0" w:line="480" w:lineRule="auto"/>
        <w:ind w:firstLine="720"/>
        <w:jc w:val="both"/>
        <w:rPr>
          <w:rFonts w:ascii="Verdana" w:eastAsia="Times New Roman" w:hAnsi="Verdana" w:cs="Arial"/>
          <w:color w:val="222222"/>
          <w:lang w:val="en-US"/>
        </w:rPr>
      </w:pPr>
      <w:r w:rsidRPr="005E7D84">
        <w:rPr>
          <w:rFonts w:ascii="Verdana" w:eastAsia="Times New Roman" w:hAnsi="Verdana" w:cs="Arial"/>
          <w:color w:val="222222"/>
          <w:lang w:val="en-US"/>
        </w:rPr>
        <w:t>The fourth</w:t>
      </w:r>
      <w:r w:rsidR="00E02A7B">
        <w:rPr>
          <w:rFonts w:ascii="Verdana" w:eastAsia="Times New Roman" w:hAnsi="Verdana" w:cs="Arial"/>
          <w:color w:val="222222"/>
          <w:lang w:val="en-US"/>
        </w:rPr>
        <w:t>,</w:t>
      </w:r>
      <w:r w:rsidRPr="005E7D84">
        <w:rPr>
          <w:rFonts w:ascii="Verdana" w:eastAsia="Times New Roman" w:hAnsi="Verdana" w:cs="Arial"/>
          <w:color w:val="222222"/>
          <w:lang w:val="en-US"/>
        </w:rPr>
        <w:t xml:space="preserve"> rewards </w:t>
      </w:r>
      <w:r w:rsidR="006C525D" w:rsidRPr="005E7D84">
        <w:rPr>
          <w:rFonts w:ascii="Verdana" w:eastAsia="Times New Roman" w:hAnsi="Verdana" w:cs="Arial"/>
          <w:color w:val="222222"/>
          <w:lang w:val="en-US"/>
        </w:rPr>
        <w:t>pot</w:t>
      </w:r>
      <w:r w:rsidR="00E02A7B">
        <w:rPr>
          <w:rFonts w:ascii="Verdana" w:eastAsia="Times New Roman" w:hAnsi="Verdana" w:cs="Arial"/>
          <w:color w:val="222222"/>
          <w:lang w:val="en-US"/>
        </w:rPr>
        <w:t>,</w:t>
      </w:r>
      <w:r w:rsidRPr="005E7D84">
        <w:rPr>
          <w:rFonts w:ascii="Verdana" w:eastAsia="Times New Roman" w:hAnsi="Verdana" w:cs="Arial"/>
          <w:color w:val="222222"/>
          <w:lang w:val="en-US"/>
        </w:rPr>
        <w:t xml:space="preserve"> is addressed to the lower tiers of the Government.  This again cannot be part of sharing of taxes, but will have to be in the part of the Grants-in-Aid.  </w:t>
      </w:r>
      <w:r w:rsidR="00BE15BB">
        <w:rPr>
          <w:rFonts w:ascii="Verdana" w:eastAsia="Times New Roman" w:hAnsi="Verdana" w:cs="Arial"/>
          <w:color w:val="222222"/>
          <w:lang w:val="en-US"/>
        </w:rPr>
        <w:t xml:space="preserve">The requirement of Union Government for meeting such demands from grants-in-aid may be taken into account while considering vertical balance.  </w:t>
      </w:r>
    </w:p>
    <w:p w:rsidR="001A1BA9" w:rsidRPr="001A1BA9" w:rsidRDefault="001A1BA9" w:rsidP="001A1BA9">
      <w:pPr>
        <w:spacing w:before="240" w:line="480" w:lineRule="auto"/>
        <w:ind w:firstLine="720"/>
        <w:jc w:val="both"/>
        <w:rPr>
          <w:rFonts w:ascii="Verdana" w:hAnsi="Verdana"/>
          <w:i/>
        </w:rPr>
      </w:pPr>
      <w:r w:rsidRPr="001A1BA9">
        <w:rPr>
          <w:rFonts w:ascii="Verdana" w:hAnsi="Verdana"/>
        </w:rPr>
        <w:t>Dr. Subramanian suggested that</w:t>
      </w:r>
      <w:r w:rsidR="003E5F70">
        <w:rPr>
          <w:rFonts w:ascii="Verdana" w:hAnsi="Verdana"/>
        </w:rPr>
        <w:t>,</w:t>
      </w:r>
      <w:r w:rsidRPr="001A1BA9">
        <w:rPr>
          <w:rFonts w:ascii="Verdana" w:hAnsi="Verdana"/>
        </w:rPr>
        <w:t xml:space="preserve"> in the absence of Planning Commission, a new institution may be needed to implement this new </w:t>
      </w:r>
      <w:r w:rsidR="003E5F70">
        <w:rPr>
          <w:rFonts w:ascii="Verdana" w:hAnsi="Verdana"/>
        </w:rPr>
        <w:t>v</w:t>
      </w:r>
      <w:r w:rsidRPr="001A1BA9">
        <w:rPr>
          <w:rFonts w:ascii="Verdana" w:hAnsi="Verdana"/>
        </w:rPr>
        <w:t>ision of tax sharing. He expressed the view that GST Council could be such an institution. He stated that, ‘</w:t>
      </w:r>
      <w:r w:rsidRPr="001A1BA9">
        <w:rPr>
          <w:rFonts w:ascii="Verdana" w:hAnsi="Verdana"/>
          <w:i/>
        </w:rPr>
        <w:t xml:space="preserve">Thus far, it has worked very effectively and demonstrated that cooperative federalism can work. It now can build on that experience to take on issues related to resource transfers and any other follow-up and implementation work which future fiscal federalism will necessitate.’ </w:t>
      </w:r>
      <w:r w:rsidRPr="001A1BA9">
        <w:rPr>
          <w:rFonts w:ascii="Verdana" w:hAnsi="Verdana"/>
        </w:rPr>
        <w:t>(</w:t>
      </w:r>
      <w:proofErr w:type="gramStart"/>
      <w:r w:rsidRPr="001A1BA9">
        <w:rPr>
          <w:rFonts w:ascii="Verdana" w:hAnsi="Verdana"/>
        </w:rPr>
        <w:t>page</w:t>
      </w:r>
      <w:proofErr w:type="gramEnd"/>
      <w:r w:rsidRPr="001A1BA9">
        <w:rPr>
          <w:rFonts w:ascii="Verdana" w:hAnsi="Verdana"/>
        </w:rPr>
        <w:t xml:space="preserve"> 307). He concludes the chapter by </w:t>
      </w:r>
      <w:r w:rsidRPr="001A1BA9">
        <w:rPr>
          <w:rFonts w:ascii="Verdana" w:hAnsi="Verdana"/>
        </w:rPr>
        <w:lastRenderedPageBreak/>
        <w:t>stating that the ‘</w:t>
      </w:r>
      <w:r w:rsidRPr="001A1BA9">
        <w:rPr>
          <w:rFonts w:ascii="Verdana" w:hAnsi="Verdana"/>
          <w:i/>
        </w:rPr>
        <w:t>fifteenth Finance Commission has an opportunity to design them as if it were the First.’</w:t>
      </w:r>
    </w:p>
    <w:p w:rsidR="001A1BA9" w:rsidRPr="00A60817" w:rsidRDefault="001A1BA9" w:rsidP="00A60817">
      <w:pPr>
        <w:spacing w:before="240" w:after="0" w:line="480" w:lineRule="auto"/>
        <w:ind w:firstLine="720"/>
        <w:jc w:val="both"/>
        <w:rPr>
          <w:rFonts w:ascii="Verdana" w:eastAsia="Times New Roman" w:hAnsi="Verdana" w:cs="Arial"/>
          <w:color w:val="222222"/>
          <w:lang w:val="en-US"/>
        </w:rPr>
      </w:pPr>
      <w:r w:rsidRPr="00A60817">
        <w:rPr>
          <w:rFonts w:ascii="Verdana" w:hAnsi="Verdana"/>
        </w:rPr>
        <w:t>It is not clear how the GST Council</w:t>
      </w:r>
      <w:r w:rsidR="00FE7FD1" w:rsidRPr="00A60817">
        <w:rPr>
          <w:rFonts w:ascii="Verdana" w:hAnsi="Verdana"/>
        </w:rPr>
        <w:t xml:space="preserve"> as it is constituted</w:t>
      </w:r>
      <w:r w:rsidRPr="00A60817">
        <w:rPr>
          <w:rFonts w:ascii="Verdana" w:hAnsi="Verdana"/>
        </w:rPr>
        <w:t xml:space="preserve"> can be entrusted with the responsibility of implementing the new </w:t>
      </w:r>
      <w:r w:rsidR="003E5F70">
        <w:rPr>
          <w:rFonts w:ascii="Verdana" w:hAnsi="Verdana"/>
        </w:rPr>
        <w:t>v</w:t>
      </w:r>
      <w:r w:rsidRPr="00A60817">
        <w:rPr>
          <w:rFonts w:ascii="Verdana" w:hAnsi="Verdana"/>
        </w:rPr>
        <w:t>ision of tax sharing.</w:t>
      </w:r>
      <w:r w:rsidR="00FE7FD1" w:rsidRPr="00A60817">
        <w:rPr>
          <w:rFonts w:ascii="Verdana" w:hAnsi="Verdana"/>
        </w:rPr>
        <w:t xml:space="preserve">  Presumably, Dr. Subram</w:t>
      </w:r>
      <w:r w:rsidR="00344E7C">
        <w:rPr>
          <w:rFonts w:ascii="Verdana" w:hAnsi="Verdana"/>
        </w:rPr>
        <w:t>a</w:t>
      </w:r>
      <w:r w:rsidR="00FE7FD1" w:rsidRPr="00A60817">
        <w:rPr>
          <w:rFonts w:ascii="Verdana" w:hAnsi="Verdana"/>
        </w:rPr>
        <w:t xml:space="preserve">nian had </w:t>
      </w:r>
      <w:r w:rsidR="003F317A">
        <w:rPr>
          <w:rFonts w:ascii="Verdana" w:hAnsi="Verdana"/>
        </w:rPr>
        <w:t xml:space="preserve">in mind </w:t>
      </w:r>
      <w:r w:rsidR="00FE7FD1" w:rsidRPr="00A60817">
        <w:rPr>
          <w:rFonts w:ascii="Verdana" w:hAnsi="Verdana"/>
        </w:rPr>
        <w:t>a new institut</w:t>
      </w:r>
      <w:r w:rsidR="00074842">
        <w:rPr>
          <w:rFonts w:ascii="Verdana" w:hAnsi="Verdana"/>
        </w:rPr>
        <w:t xml:space="preserve">ion on the lines of GST Council to perform function of erstwhile Planning Commission, by an arrangement to be designed by the </w:t>
      </w:r>
      <w:r w:rsidR="003C3101">
        <w:rPr>
          <w:rFonts w:ascii="Verdana" w:hAnsi="Verdana"/>
        </w:rPr>
        <w:t>XV</w:t>
      </w:r>
      <w:r w:rsidR="00074842">
        <w:rPr>
          <w:rFonts w:ascii="Verdana" w:hAnsi="Verdana"/>
        </w:rPr>
        <w:t xml:space="preserve"> Finance Commission.  </w:t>
      </w:r>
      <w:r w:rsidR="00FE7FD1" w:rsidRPr="00A60817">
        <w:rPr>
          <w:rFonts w:ascii="Verdana" w:hAnsi="Verdana"/>
        </w:rPr>
        <w:t xml:space="preserve">  </w:t>
      </w:r>
    </w:p>
    <w:p w:rsidR="005E7D84" w:rsidRDefault="005E7D84" w:rsidP="005E7D84">
      <w:pPr>
        <w:spacing w:before="240" w:after="0" w:line="480" w:lineRule="auto"/>
        <w:jc w:val="both"/>
        <w:rPr>
          <w:rFonts w:ascii="Verdana" w:eastAsia="Times New Roman" w:hAnsi="Verdana" w:cs="Arial"/>
          <w:color w:val="222222"/>
          <w:lang w:val="en-US"/>
        </w:rPr>
      </w:pPr>
      <w:r w:rsidRPr="005E7D84">
        <w:rPr>
          <w:rFonts w:ascii="Verdana" w:eastAsia="Times New Roman" w:hAnsi="Verdana" w:cs="Arial"/>
          <w:color w:val="222222"/>
          <w:lang w:val="en-US"/>
        </w:rPr>
        <w:tab/>
        <w:t xml:space="preserve">In brief, the vision contemplated by Dr. </w:t>
      </w:r>
      <w:proofErr w:type="spellStart"/>
      <w:r w:rsidRPr="005E7D84">
        <w:rPr>
          <w:rFonts w:ascii="Verdana" w:eastAsia="Times New Roman" w:hAnsi="Verdana" w:cs="Arial"/>
          <w:color w:val="222222"/>
          <w:lang w:val="en-US"/>
        </w:rPr>
        <w:t>Arvind</w:t>
      </w:r>
      <w:proofErr w:type="spellEnd"/>
      <w:r w:rsidRPr="005E7D84">
        <w:rPr>
          <w:rFonts w:ascii="Verdana" w:eastAsia="Times New Roman" w:hAnsi="Verdana" w:cs="Arial"/>
          <w:color w:val="222222"/>
          <w:lang w:val="en-US"/>
        </w:rPr>
        <w:t xml:space="preserve"> </w:t>
      </w:r>
      <w:r w:rsidR="006C525D" w:rsidRPr="005E7D84">
        <w:rPr>
          <w:rFonts w:ascii="Verdana" w:eastAsia="Times New Roman" w:hAnsi="Verdana" w:cs="Arial"/>
          <w:color w:val="222222"/>
          <w:lang w:val="en-US"/>
        </w:rPr>
        <w:t>Subramanian</w:t>
      </w:r>
      <w:r w:rsidRPr="005E7D84">
        <w:rPr>
          <w:rFonts w:ascii="Verdana" w:eastAsia="Times New Roman" w:hAnsi="Verdana" w:cs="Arial"/>
          <w:color w:val="222222"/>
          <w:lang w:val="en-US"/>
        </w:rPr>
        <w:t xml:space="preserve"> has to fit into the concept of sharing of taxes as distin</w:t>
      </w:r>
      <w:r w:rsidR="00B217FB">
        <w:rPr>
          <w:rFonts w:ascii="Verdana" w:eastAsia="Times New Roman" w:hAnsi="Verdana" w:cs="Arial"/>
          <w:color w:val="222222"/>
          <w:lang w:val="en-US"/>
        </w:rPr>
        <w:t xml:space="preserve">ct </w:t>
      </w:r>
      <w:r w:rsidRPr="005E7D84">
        <w:rPr>
          <w:rFonts w:ascii="Verdana" w:eastAsia="Times New Roman" w:hAnsi="Verdana" w:cs="Arial"/>
          <w:color w:val="222222"/>
          <w:lang w:val="en-US"/>
        </w:rPr>
        <w:t>from the Grants-in-Aid.  Further, a distinction has to be made between an award which is in the nature of arbitration between the interests of the Union and the State</w:t>
      </w:r>
      <w:r w:rsidR="008174A5">
        <w:rPr>
          <w:rFonts w:ascii="Verdana" w:eastAsia="Times New Roman" w:hAnsi="Verdana" w:cs="Arial"/>
          <w:color w:val="222222"/>
          <w:lang w:val="en-US"/>
        </w:rPr>
        <w:t>s</w:t>
      </w:r>
      <w:r w:rsidRPr="005E7D84">
        <w:rPr>
          <w:rFonts w:ascii="Verdana" w:eastAsia="Times New Roman" w:hAnsi="Verdana" w:cs="Arial"/>
          <w:color w:val="222222"/>
          <w:lang w:val="en-US"/>
        </w:rPr>
        <w:t xml:space="preserve"> as distin</w:t>
      </w:r>
      <w:r w:rsidR="00B217FB">
        <w:rPr>
          <w:rFonts w:ascii="Verdana" w:eastAsia="Times New Roman" w:hAnsi="Verdana" w:cs="Arial"/>
          <w:color w:val="222222"/>
          <w:lang w:val="en-US"/>
        </w:rPr>
        <w:t xml:space="preserve">ct </w:t>
      </w:r>
      <w:r w:rsidR="008174A5">
        <w:rPr>
          <w:rFonts w:ascii="Verdana" w:eastAsia="Times New Roman" w:hAnsi="Verdana" w:cs="Arial"/>
          <w:color w:val="222222"/>
          <w:lang w:val="en-US"/>
        </w:rPr>
        <w:t>from the g</w:t>
      </w:r>
      <w:r w:rsidRPr="005E7D84">
        <w:rPr>
          <w:rFonts w:ascii="Verdana" w:eastAsia="Times New Roman" w:hAnsi="Verdana" w:cs="Arial"/>
          <w:color w:val="222222"/>
          <w:lang w:val="en-US"/>
        </w:rPr>
        <w:t>rants from the Union outside the recommendations of the Finance Commission to reflect the policies appropriate from time to time, based on political consensus.</w:t>
      </w:r>
      <w:r>
        <w:rPr>
          <w:rFonts w:ascii="Verdana" w:eastAsia="Times New Roman" w:hAnsi="Verdana" w:cs="Arial"/>
          <w:color w:val="222222"/>
          <w:lang w:val="en-US"/>
        </w:rPr>
        <w:t xml:space="preserve">  </w:t>
      </w:r>
    </w:p>
    <w:p w:rsidR="00B90920" w:rsidRDefault="00202706" w:rsidP="00B90920">
      <w:pPr>
        <w:pStyle w:val="NoSpacing"/>
        <w:spacing w:before="240" w:after="120" w:line="480" w:lineRule="auto"/>
        <w:ind w:firstLine="720"/>
        <w:jc w:val="both"/>
        <w:rPr>
          <w:rFonts w:ascii="Verdana" w:hAnsi="Verdana"/>
        </w:rPr>
      </w:pPr>
      <w:r>
        <w:rPr>
          <w:rFonts w:ascii="Verdana" w:hAnsi="Verdana"/>
        </w:rPr>
        <w:t>Whi</w:t>
      </w:r>
      <w:r w:rsidR="001F033E">
        <w:rPr>
          <w:rFonts w:ascii="Verdana" w:hAnsi="Verdana"/>
        </w:rPr>
        <w:t>l</w:t>
      </w:r>
      <w:r>
        <w:rPr>
          <w:rFonts w:ascii="Verdana" w:hAnsi="Verdana"/>
        </w:rPr>
        <w:t xml:space="preserve">e there are </w:t>
      </w:r>
      <w:r w:rsidR="00031B83">
        <w:rPr>
          <w:rFonts w:ascii="Verdana" w:hAnsi="Verdana"/>
        </w:rPr>
        <w:t xml:space="preserve">complex </w:t>
      </w:r>
      <w:r>
        <w:rPr>
          <w:rFonts w:ascii="Verdana" w:hAnsi="Verdana"/>
        </w:rPr>
        <w:t xml:space="preserve">issues with the </w:t>
      </w:r>
      <w:r w:rsidR="001F033E">
        <w:rPr>
          <w:rFonts w:ascii="Verdana" w:hAnsi="Verdana"/>
        </w:rPr>
        <w:t>framework</w:t>
      </w:r>
      <w:r>
        <w:rPr>
          <w:rFonts w:ascii="Verdana" w:hAnsi="Verdana"/>
        </w:rPr>
        <w:t xml:space="preserve"> and </w:t>
      </w:r>
      <w:r w:rsidR="001F033E">
        <w:rPr>
          <w:rFonts w:ascii="Verdana" w:hAnsi="Verdana"/>
        </w:rPr>
        <w:t>vision</w:t>
      </w:r>
      <w:r w:rsidR="0073629C">
        <w:rPr>
          <w:rFonts w:ascii="Verdana" w:hAnsi="Verdana"/>
        </w:rPr>
        <w:t>,</w:t>
      </w:r>
      <w:r w:rsidR="00B217FB">
        <w:rPr>
          <w:rFonts w:ascii="Verdana" w:hAnsi="Verdana"/>
        </w:rPr>
        <w:t xml:space="preserve"> </w:t>
      </w:r>
      <w:r w:rsidR="006C3B7F">
        <w:rPr>
          <w:rFonts w:ascii="Verdana" w:hAnsi="Verdana"/>
        </w:rPr>
        <w:t xml:space="preserve">one can agree with the conclusion of Dr. </w:t>
      </w:r>
      <w:proofErr w:type="spellStart"/>
      <w:r w:rsidR="006C3B7F">
        <w:rPr>
          <w:rFonts w:ascii="Verdana" w:hAnsi="Verdana"/>
        </w:rPr>
        <w:t>Arvind</w:t>
      </w:r>
      <w:proofErr w:type="spellEnd"/>
      <w:r w:rsidR="006C3B7F">
        <w:rPr>
          <w:rFonts w:ascii="Verdana" w:hAnsi="Verdana"/>
        </w:rPr>
        <w:t xml:space="preserve"> Subram</w:t>
      </w:r>
      <w:r w:rsidR="000E188F">
        <w:rPr>
          <w:rFonts w:ascii="Verdana" w:hAnsi="Verdana"/>
        </w:rPr>
        <w:t>a</w:t>
      </w:r>
      <w:r>
        <w:rPr>
          <w:rFonts w:ascii="Verdana" w:hAnsi="Verdana"/>
        </w:rPr>
        <w:t>nian</w:t>
      </w:r>
      <w:r w:rsidR="006C3B7F">
        <w:rPr>
          <w:rFonts w:ascii="Verdana" w:hAnsi="Verdana"/>
        </w:rPr>
        <w:t xml:space="preserve"> </w:t>
      </w:r>
      <w:r>
        <w:rPr>
          <w:rFonts w:ascii="Verdana" w:hAnsi="Verdana"/>
        </w:rPr>
        <w:t xml:space="preserve">when he says: </w:t>
      </w:r>
      <w:r w:rsidR="001A436A">
        <w:rPr>
          <w:rFonts w:ascii="Verdana" w:hAnsi="Verdana"/>
        </w:rPr>
        <w:t xml:space="preserve">"India's future lies in cooperative federalism.  Increasingly, the Centre and the states must come together to solve problems across the economic landscape.  Therefore, its fiscal arrangements must be commensurate with the challenges ahead, and based on a framework and vision that are economically coherent and politically acceptable."  </w:t>
      </w:r>
    </w:p>
    <w:p w:rsidR="00182803" w:rsidRDefault="00182803" w:rsidP="00182803">
      <w:pPr>
        <w:pStyle w:val="NoSpacing"/>
        <w:spacing w:before="240" w:after="120" w:line="480" w:lineRule="auto"/>
        <w:jc w:val="both"/>
        <w:rPr>
          <w:rFonts w:ascii="Verdana" w:hAnsi="Verdana"/>
        </w:rPr>
      </w:pPr>
      <w:r>
        <w:rPr>
          <w:rFonts w:ascii="Verdana" w:hAnsi="Verdana"/>
          <w:b/>
          <w:u w:val="single"/>
        </w:rPr>
        <w:t>Towards New Fiscal Federalism</w:t>
      </w:r>
      <w:r>
        <w:rPr>
          <w:rFonts w:ascii="Verdana" w:hAnsi="Verdana"/>
        </w:rPr>
        <w:t xml:space="preserve">: </w:t>
      </w:r>
    </w:p>
    <w:p w:rsidR="00D50639" w:rsidRDefault="00FA64D0" w:rsidP="00182803">
      <w:pPr>
        <w:pStyle w:val="NoSpacing"/>
        <w:spacing w:after="120" w:line="480" w:lineRule="auto"/>
        <w:jc w:val="both"/>
        <w:rPr>
          <w:rFonts w:ascii="Verdana" w:hAnsi="Verdana"/>
        </w:rPr>
      </w:pPr>
      <w:r>
        <w:rPr>
          <w:rFonts w:ascii="Verdana" w:hAnsi="Verdana"/>
        </w:rPr>
        <w:tab/>
        <w:t>Dr. Vijay Kelkar in his Professor</w:t>
      </w:r>
      <w:r w:rsidR="004D15A8">
        <w:rPr>
          <w:rFonts w:ascii="Verdana" w:hAnsi="Verdana"/>
        </w:rPr>
        <w:t xml:space="preserve"> </w:t>
      </w:r>
      <w:proofErr w:type="spellStart"/>
      <w:r w:rsidR="004D15A8">
        <w:rPr>
          <w:rFonts w:ascii="Verdana" w:hAnsi="Verdana"/>
        </w:rPr>
        <w:t>Sukhamoy</w:t>
      </w:r>
      <w:proofErr w:type="spellEnd"/>
      <w:r w:rsidR="004D15A8">
        <w:rPr>
          <w:rFonts w:ascii="Verdana" w:hAnsi="Verdana"/>
        </w:rPr>
        <w:t xml:space="preserve"> </w:t>
      </w:r>
      <w:proofErr w:type="spellStart"/>
      <w:r w:rsidR="004D15A8">
        <w:rPr>
          <w:rFonts w:ascii="Verdana" w:hAnsi="Verdana"/>
        </w:rPr>
        <w:t>Chakravarty</w:t>
      </w:r>
      <w:proofErr w:type="spellEnd"/>
      <w:r w:rsidR="004D15A8">
        <w:rPr>
          <w:rFonts w:ascii="Verdana" w:hAnsi="Verdana"/>
        </w:rPr>
        <w:t xml:space="preserve"> Memorial Lecture in January 2019 spelt out the parameters of a </w:t>
      </w:r>
      <w:r w:rsidR="00335B2D">
        <w:rPr>
          <w:rFonts w:ascii="Verdana" w:hAnsi="Verdana"/>
        </w:rPr>
        <w:t>"</w:t>
      </w:r>
      <w:r w:rsidR="004D15A8">
        <w:rPr>
          <w:rFonts w:ascii="Verdana" w:hAnsi="Verdana"/>
        </w:rPr>
        <w:t>new Fiscal Federalism</w:t>
      </w:r>
      <w:r w:rsidR="00335B2D">
        <w:rPr>
          <w:rFonts w:ascii="Verdana" w:hAnsi="Verdana"/>
        </w:rPr>
        <w:t>"</w:t>
      </w:r>
      <w:r w:rsidR="004D15A8">
        <w:rPr>
          <w:rFonts w:ascii="Verdana" w:hAnsi="Verdana"/>
        </w:rPr>
        <w:t xml:space="preserve">. </w:t>
      </w:r>
      <w:r w:rsidR="0089375D">
        <w:rPr>
          <w:rFonts w:ascii="Verdana" w:hAnsi="Verdana"/>
        </w:rPr>
        <w:t xml:space="preserve">Firstly, he </w:t>
      </w:r>
      <w:r w:rsidR="0089375D">
        <w:rPr>
          <w:rFonts w:ascii="Verdana" w:hAnsi="Verdana"/>
        </w:rPr>
        <w:lastRenderedPageBreak/>
        <w:t xml:space="preserve">expands the federal structure of Union of States from two levels of the Government to a third level and calls it Elected Local Bodies.  </w:t>
      </w:r>
    </w:p>
    <w:p w:rsidR="00182803" w:rsidRDefault="0089375D" w:rsidP="00D50639">
      <w:pPr>
        <w:pStyle w:val="NoSpacing"/>
        <w:spacing w:after="120" w:line="480" w:lineRule="auto"/>
        <w:ind w:firstLine="720"/>
        <w:jc w:val="both"/>
        <w:rPr>
          <w:rFonts w:ascii="Verdana" w:hAnsi="Verdana"/>
        </w:rPr>
      </w:pPr>
      <w:r>
        <w:rPr>
          <w:rFonts w:ascii="Verdana" w:hAnsi="Verdana"/>
        </w:rPr>
        <w:t>Secondly</w:t>
      </w:r>
      <w:r w:rsidR="004D15A8">
        <w:rPr>
          <w:rFonts w:ascii="Verdana" w:hAnsi="Verdana"/>
        </w:rPr>
        <w:t xml:space="preserve">, he expands the scope of the framework </w:t>
      </w:r>
      <w:r>
        <w:rPr>
          <w:rFonts w:ascii="Verdana" w:hAnsi="Verdana"/>
        </w:rPr>
        <w:t xml:space="preserve">of fiscal federalism </w:t>
      </w:r>
      <w:r w:rsidR="004D15A8">
        <w:rPr>
          <w:rFonts w:ascii="Verdana" w:hAnsi="Verdana"/>
        </w:rPr>
        <w:t xml:space="preserve">beyond vertical and horizontal imbalances and introduces a third imbalance, namely, development imbalance.  </w:t>
      </w:r>
      <w:r>
        <w:rPr>
          <w:rFonts w:ascii="Verdana" w:hAnsi="Verdana"/>
        </w:rPr>
        <w:t xml:space="preserve">This refers to the increasing inequality among the levels of developments of different States.  </w:t>
      </w:r>
    </w:p>
    <w:p w:rsidR="002C5FA4" w:rsidRDefault="00BB1DB2" w:rsidP="00544EFD">
      <w:pPr>
        <w:pStyle w:val="NoSpacing"/>
        <w:spacing w:before="240" w:after="120" w:line="480" w:lineRule="auto"/>
        <w:jc w:val="both"/>
        <w:rPr>
          <w:rFonts w:ascii="Verdana" w:hAnsi="Verdana" w:cs="Times New Roman"/>
        </w:rPr>
      </w:pPr>
      <w:r>
        <w:rPr>
          <w:rFonts w:ascii="Verdana" w:hAnsi="Verdana"/>
        </w:rPr>
        <w:tab/>
      </w:r>
      <w:r w:rsidR="00544EFD">
        <w:rPr>
          <w:rFonts w:ascii="Verdana" w:hAnsi="Verdana"/>
        </w:rPr>
        <w:t>Thirdly</w:t>
      </w:r>
      <w:r w:rsidR="00C32681">
        <w:rPr>
          <w:rFonts w:ascii="Verdana" w:hAnsi="Verdana"/>
        </w:rPr>
        <w:t xml:space="preserve">, he argues that there are two aspects to imbalances, namely, consumption levels and stock of infrastructure.  </w:t>
      </w:r>
      <w:r w:rsidR="00EB1F12">
        <w:rPr>
          <w:rFonts w:ascii="Verdana" w:hAnsi="Verdana"/>
        </w:rPr>
        <w:t xml:space="preserve">These two warrant two different </w:t>
      </w:r>
      <w:r w:rsidR="00A00D57">
        <w:rPr>
          <w:rFonts w:ascii="Verdana" w:hAnsi="Verdana"/>
        </w:rPr>
        <w:t>"</w:t>
      </w:r>
      <w:r w:rsidR="00EB1F12">
        <w:rPr>
          <w:rFonts w:ascii="Verdana" w:hAnsi="Verdana"/>
        </w:rPr>
        <w:t>policy instruments</w:t>
      </w:r>
      <w:r w:rsidR="00A00D57">
        <w:rPr>
          <w:rFonts w:ascii="Verdana" w:hAnsi="Verdana"/>
        </w:rPr>
        <w:t>"</w:t>
      </w:r>
      <w:r w:rsidR="00EB1F12">
        <w:rPr>
          <w:rFonts w:ascii="Verdana" w:hAnsi="Verdana"/>
        </w:rPr>
        <w:t xml:space="preserve">.  </w:t>
      </w:r>
      <w:r w:rsidR="00A82EA0">
        <w:rPr>
          <w:rFonts w:ascii="Verdana" w:hAnsi="Verdana"/>
        </w:rPr>
        <w:t>He proposes two pillars, namely, Union Finance Commission to take care of the public goods and services part and suggests strengthening of a second</w:t>
      </w:r>
      <w:r w:rsidR="00A00D57">
        <w:rPr>
          <w:rFonts w:ascii="Verdana" w:hAnsi="Verdana"/>
        </w:rPr>
        <w:t xml:space="preserve"> pillar for development aspects, namely, NITI Aayog.</w:t>
      </w:r>
      <w:r w:rsidR="00A82EA0">
        <w:rPr>
          <w:rFonts w:ascii="Verdana" w:hAnsi="Verdana"/>
        </w:rPr>
        <w:t xml:space="preserve">  </w:t>
      </w:r>
    </w:p>
    <w:p w:rsidR="002C5FA4" w:rsidRDefault="002C5FA4" w:rsidP="00177A95">
      <w:pPr>
        <w:spacing w:before="240" w:after="0" w:line="480" w:lineRule="auto"/>
        <w:jc w:val="both"/>
        <w:rPr>
          <w:rFonts w:ascii="Trebuchet MS" w:hAnsi="Trebuchet MS" w:cs="Times New Roman"/>
          <w:sz w:val="24"/>
          <w:szCs w:val="24"/>
        </w:rPr>
      </w:pPr>
      <w:r>
        <w:rPr>
          <w:rFonts w:ascii="Verdana" w:hAnsi="Verdana" w:cs="Times New Roman"/>
        </w:rPr>
        <w:tab/>
      </w:r>
      <w:r w:rsidR="00967426">
        <w:rPr>
          <w:rFonts w:ascii="Verdana" w:hAnsi="Verdana" w:cs="Times New Roman"/>
        </w:rPr>
        <w:t xml:space="preserve">Fourthly, </w:t>
      </w:r>
      <w:r w:rsidR="00105B93">
        <w:rPr>
          <w:rFonts w:ascii="Verdana" w:hAnsi="Verdana" w:cs="Times New Roman"/>
        </w:rPr>
        <w:t xml:space="preserve">Dr. </w:t>
      </w:r>
      <w:r>
        <w:rPr>
          <w:rFonts w:ascii="Verdana" w:hAnsi="Verdana" w:cs="Times New Roman"/>
        </w:rPr>
        <w:t xml:space="preserve">Kelkar seems to suggest that NITI Aayog be provided additional resources to enable </w:t>
      </w:r>
      <w:r w:rsidR="00C05159">
        <w:rPr>
          <w:rFonts w:ascii="Verdana" w:hAnsi="Verdana" w:cs="Times New Roman"/>
        </w:rPr>
        <w:t xml:space="preserve">it to </w:t>
      </w:r>
      <w:r>
        <w:rPr>
          <w:rFonts w:ascii="Verdana" w:hAnsi="Verdana" w:cs="Times New Roman"/>
        </w:rPr>
        <w:t>play a more active role for developmental purposes.  In his words, "</w:t>
      </w:r>
      <w:r w:rsidR="0001018D" w:rsidRPr="007B1EFC">
        <w:rPr>
          <w:rFonts w:ascii="Trebuchet MS" w:hAnsi="Trebuchet MS" w:cs="Times New Roman"/>
          <w:sz w:val="24"/>
          <w:szCs w:val="24"/>
        </w:rPr>
        <w:t xml:space="preserve">Given the overall resource constraints what this would mean is that the future Finance Commissions, as against what has been done by the </w:t>
      </w:r>
      <w:r w:rsidR="003C3101">
        <w:rPr>
          <w:rFonts w:ascii="Trebuchet MS" w:hAnsi="Trebuchet MS" w:cs="Times New Roman"/>
          <w:sz w:val="24"/>
          <w:szCs w:val="24"/>
        </w:rPr>
        <w:t>XIV</w:t>
      </w:r>
      <w:r w:rsidR="0001018D" w:rsidRPr="007B1EFC">
        <w:rPr>
          <w:rFonts w:ascii="Trebuchet MS" w:hAnsi="Trebuchet MS" w:cs="Times New Roman"/>
          <w:sz w:val="24"/>
          <w:szCs w:val="24"/>
        </w:rPr>
        <w:t xml:space="preserve"> FC, will have to revert to the modest percentages in their devolution formula as was indeed the historical trend.</w:t>
      </w:r>
      <w:r w:rsidR="0001018D">
        <w:rPr>
          <w:rFonts w:ascii="Trebuchet MS" w:hAnsi="Trebuchet MS" w:cs="Times New Roman"/>
          <w:sz w:val="24"/>
          <w:szCs w:val="24"/>
        </w:rPr>
        <w:t>"</w:t>
      </w:r>
      <w:r w:rsidR="0011259C">
        <w:rPr>
          <w:rFonts w:ascii="Trebuchet MS" w:hAnsi="Trebuchet MS" w:cs="Times New Roman"/>
          <w:sz w:val="24"/>
          <w:szCs w:val="24"/>
        </w:rPr>
        <w:t xml:space="preserve">  </w:t>
      </w:r>
      <w:r w:rsidR="00946745">
        <w:rPr>
          <w:rFonts w:ascii="Trebuchet MS" w:hAnsi="Trebuchet MS" w:cs="Times New Roman"/>
          <w:sz w:val="24"/>
          <w:szCs w:val="24"/>
        </w:rPr>
        <w:t xml:space="preserve">Fifthly, he appears to favour grants, </w:t>
      </w:r>
      <w:r w:rsidR="008531D0">
        <w:rPr>
          <w:rFonts w:ascii="Trebuchet MS" w:hAnsi="Trebuchet MS" w:cs="Times New Roman"/>
          <w:sz w:val="24"/>
          <w:szCs w:val="24"/>
        </w:rPr>
        <w:t xml:space="preserve">but reformed ones.  </w:t>
      </w:r>
    </w:p>
    <w:p w:rsidR="00024736" w:rsidRDefault="00D812C5" w:rsidP="00024736">
      <w:pPr>
        <w:pStyle w:val="NoSpacing"/>
        <w:spacing w:before="240" w:after="120" w:line="480" w:lineRule="auto"/>
        <w:jc w:val="both"/>
        <w:rPr>
          <w:rFonts w:ascii="Verdana" w:hAnsi="Verdana" w:cs="Times New Roman"/>
        </w:rPr>
      </w:pPr>
      <w:r>
        <w:rPr>
          <w:rFonts w:ascii="Trebuchet MS" w:hAnsi="Trebuchet MS" w:cs="Times New Roman"/>
          <w:sz w:val="24"/>
          <w:szCs w:val="24"/>
        </w:rPr>
        <w:tab/>
      </w:r>
      <w:r w:rsidR="0011259C">
        <w:rPr>
          <w:rFonts w:ascii="Trebuchet MS" w:hAnsi="Trebuchet MS" w:cs="Times New Roman"/>
          <w:sz w:val="24"/>
          <w:szCs w:val="24"/>
        </w:rPr>
        <w:t xml:space="preserve"> </w:t>
      </w:r>
      <w:r w:rsidR="00024736" w:rsidRPr="00024736">
        <w:rPr>
          <w:rFonts w:ascii="Verdana" w:hAnsi="Verdana"/>
        </w:rPr>
        <w:t>"W</w:t>
      </w:r>
      <w:r w:rsidR="00024736" w:rsidRPr="00024736">
        <w:rPr>
          <w:rFonts w:ascii="Verdana" w:hAnsi="Verdana" w:cs="Times New Roman"/>
        </w:rPr>
        <w:t>e need to reinvent the central grants by using somewhat different variables and formulae, while being mindful of macro-economic conjuncture and structural needs. These grants can be Capital or Revenue.  Equally, these can be either conditional or unconditional transfers."</w:t>
      </w:r>
    </w:p>
    <w:p w:rsidR="00217488" w:rsidRDefault="00024736" w:rsidP="00024736">
      <w:pPr>
        <w:pStyle w:val="NoSpacing"/>
        <w:spacing w:before="240" w:after="120" w:line="480" w:lineRule="auto"/>
        <w:jc w:val="both"/>
        <w:rPr>
          <w:rFonts w:ascii="Verdana" w:hAnsi="Verdana" w:cs="Times New Roman"/>
        </w:rPr>
      </w:pPr>
      <w:r>
        <w:rPr>
          <w:rFonts w:ascii="Verdana" w:hAnsi="Verdana" w:cs="Times New Roman"/>
        </w:rPr>
        <w:lastRenderedPageBreak/>
        <w:tab/>
      </w:r>
      <w:r w:rsidR="000875A7">
        <w:rPr>
          <w:rFonts w:ascii="Verdana" w:hAnsi="Verdana" w:cs="Times New Roman"/>
        </w:rPr>
        <w:t>The framework needs to be analysed as a backdrop to appreciating the four pillars of federalism, without going i</w:t>
      </w:r>
      <w:r w:rsidR="00B15A7A">
        <w:rPr>
          <w:rFonts w:ascii="Verdana" w:hAnsi="Verdana" w:cs="Times New Roman"/>
        </w:rPr>
        <w:t>nto the controversies of Tinber</w:t>
      </w:r>
      <w:r w:rsidR="000875A7">
        <w:rPr>
          <w:rFonts w:ascii="Verdana" w:hAnsi="Verdana" w:cs="Times New Roman"/>
        </w:rPr>
        <w:t>gen Rule in a federal set up and the</w:t>
      </w:r>
      <w:r w:rsidR="00AD69DE">
        <w:rPr>
          <w:rFonts w:ascii="Verdana" w:hAnsi="Verdana" w:cs="Times New Roman"/>
        </w:rPr>
        <w:t xml:space="preserve"> theoretical framework for</w:t>
      </w:r>
      <w:r w:rsidR="000875A7">
        <w:rPr>
          <w:rFonts w:ascii="Verdana" w:hAnsi="Verdana" w:cs="Times New Roman"/>
        </w:rPr>
        <w:t xml:space="preserve"> multi-level policy decision making.  Firstly, there is no third level of government independent of the States, as long as local bodies are unambiguously in the State List – 73rd or 74th amendments do not supersede that position.  The third tier is governed by individual </w:t>
      </w:r>
      <w:r w:rsidR="00F356D7">
        <w:rPr>
          <w:rFonts w:ascii="Verdana" w:hAnsi="Verdana" w:cs="Times New Roman"/>
        </w:rPr>
        <w:t>enactments in each State</w:t>
      </w:r>
      <w:r w:rsidR="000875A7">
        <w:rPr>
          <w:rFonts w:ascii="Verdana" w:hAnsi="Verdana" w:cs="Times New Roman"/>
        </w:rPr>
        <w:t xml:space="preserve"> and </w:t>
      </w:r>
      <w:r w:rsidR="00F356D7">
        <w:rPr>
          <w:rFonts w:ascii="Verdana" w:hAnsi="Verdana" w:cs="Times New Roman"/>
        </w:rPr>
        <w:t>such a tier may not exist in a S</w:t>
      </w:r>
      <w:r w:rsidR="000875A7">
        <w:rPr>
          <w:rFonts w:ascii="Verdana" w:hAnsi="Verdana" w:cs="Times New Roman"/>
        </w:rPr>
        <w:t xml:space="preserve">tate if the concerned State does not want.  </w:t>
      </w:r>
      <w:r w:rsidR="00F356D7">
        <w:rPr>
          <w:rFonts w:ascii="Verdana" w:hAnsi="Verdana" w:cs="Times New Roman"/>
        </w:rPr>
        <w:t>The</w:t>
      </w:r>
      <w:r w:rsidR="00AD3E21">
        <w:rPr>
          <w:rFonts w:ascii="Verdana" w:hAnsi="Verdana" w:cs="Times New Roman"/>
        </w:rPr>
        <w:t xml:space="preserve"> </w:t>
      </w:r>
      <w:r w:rsidR="000875A7">
        <w:rPr>
          <w:rFonts w:ascii="Verdana" w:hAnsi="Verdana" w:cs="Times New Roman"/>
        </w:rPr>
        <w:t>scope and functions</w:t>
      </w:r>
      <w:r w:rsidR="00AD3E21">
        <w:rPr>
          <w:rFonts w:ascii="Verdana" w:hAnsi="Verdana" w:cs="Times New Roman"/>
        </w:rPr>
        <w:t xml:space="preserve"> are decided by individual Acts of </w:t>
      </w:r>
      <w:r w:rsidR="00B452C5">
        <w:rPr>
          <w:rFonts w:ascii="Verdana" w:hAnsi="Verdana" w:cs="Times New Roman"/>
        </w:rPr>
        <w:t>individual</w:t>
      </w:r>
      <w:r w:rsidR="00AD3E21">
        <w:rPr>
          <w:rFonts w:ascii="Verdana" w:hAnsi="Verdana" w:cs="Times New Roman"/>
        </w:rPr>
        <w:t xml:space="preserve"> State</w:t>
      </w:r>
      <w:r w:rsidR="00B452C5">
        <w:rPr>
          <w:rFonts w:ascii="Verdana" w:hAnsi="Verdana" w:cs="Times New Roman"/>
        </w:rPr>
        <w:t>s</w:t>
      </w:r>
      <w:r w:rsidR="00AD3E21">
        <w:rPr>
          <w:rFonts w:ascii="Verdana" w:hAnsi="Verdana" w:cs="Times New Roman"/>
        </w:rPr>
        <w:t xml:space="preserve">.  </w:t>
      </w:r>
      <w:r w:rsidR="000875A7">
        <w:rPr>
          <w:rFonts w:ascii="Verdana" w:hAnsi="Verdana" w:cs="Times New Roman"/>
        </w:rPr>
        <w:t xml:space="preserve">  </w:t>
      </w:r>
    </w:p>
    <w:p w:rsidR="00B41205" w:rsidRPr="008D353E" w:rsidRDefault="00B41205" w:rsidP="00B41205">
      <w:pPr>
        <w:spacing w:before="240" w:after="0" w:line="480" w:lineRule="auto"/>
        <w:ind w:firstLine="720"/>
        <w:jc w:val="both"/>
        <w:rPr>
          <w:rFonts w:ascii="Trebuchet MS" w:hAnsi="Trebuchet MS" w:cs="Times New Roman"/>
          <w:sz w:val="24"/>
          <w:szCs w:val="24"/>
        </w:rPr>
      </w:pPr>
      <w:r w:rsidRPr="008D353E">
        <w:rPr>
          <w:rFonts w:ascii="Trebuchet MS" w:hAnsi="Trebuchet MS" w:cs="Times New Roman"/>
          <w:sz w:val="24"/>
          <w:szCs w:val="24"/>
        </w:rPr>
        <w:t xml:space="preserve">Further, the role of the Union Finance Commission is limited when it comes to local governments. The </w:t>
      </w:r>
      <w:r w:rsidR="003E5F70">
        <w:rPr>
          <w:rFonts w:ascii="Trebuchet MS" w:hAnsi="Trebuchet MS" w:cs="Times New Roman"/>
          <w:sz w:val="24"/>
          <w:szCs w:val="24"/>
        </w:rPr>
        <w:t>‘</w:t>
      </w:r>
      <w:r w:rsidRPr="008D353E">
        <w:rPr>
          <w:rFonts w:ascii="Trebuchet MS" w:hAnsi="Trebuchet MS" w:cs="Times New Roman"/>
          <w:sz w:val="24"/>
          <w:szCs w:val="24"/>
        </w:rPr>
        <w:t>Terms of Reference</w:t>
      </w:r>
      <w:r w:rsidR="003E5F70">
        <w:rPr>
          <w:rFonts w:ascii="Trebuchet MS" w:hAnsi="Trebuchet MS" w:cs="Times New Roman"/>
          <w:sz w:val="24"/>
          <w:szCs w:val="24"/>
        </w:rPr>
        <w:t>’</w:t>
      </w:r>
      <w:r w:rsidRPr="008D353E">
        <w:rPr>
          <w:rFonts w:ascii="Trebuchet MS" w:hAnsi="Trebuchet MS" w:cs="Times New Roman"/>
          <w:sz w:val="24"/>
          <w:szCs w:val="24"/>
        </w:rPr>
        <w:t xml:space="preserve"> of the </w:t>
      </w:r>
      <w:r w:rsidR="007E76BD">
        <w:rPr>
          <w:rFonts w:ascii="Trebuchet MS" w:hAnsi="Trebuchet MS" w:cs="Times New Roman"/>
          <w:sz w:val="24"/>
          <w:szCs w:val="24"/>
        </w:rPr>
        <w:t xml:space="preserve">National </w:t>
      </w:r>
      <w:r w:rsidRPr="008D353E">
        <w:rPr>
          <w:rFonts w:ascii="Trebuchet MS" w:hAnsi="Trebuchet MS" w:cs="Times New Roman"/>
          <w:sz w:val="24"/>
          <w:szCs w:val="24"/>
        </w:rPr>
        <w:t>Finance Commission</w:t>
      </w:r>
      <w:r w:rsidR="007E76BD">
        <w:rPr>
          <w:rFonts w:ascii="Trebuchet MS" w:hAnsi="Trebuchet MS" w:cs="Times New Roman"/>
          <w:sz w:val="24"/>
          <w:szCs w:val="24"/>
        </w:rPr>
        <w:t>s</w:t>
      </w:r>
      <w:r w:rsidRPr="008D353E">
        <w:rPr>
          <w:rFonts w:ascii="Trebuchet MS" w:hAnsi="Trebuchet MS" w:cs="Times New Roman"/>
          <w:sz w:val="24"/>
          <w:szCs w:val="24"/>
        </w:rPr>
        <w:t xml:space="preserve"> requires </w:t>
      </w:r>
      <w:r w:rsidR="007E76BD">
        <w:rPr>
          <w:rFonts w:ascii="Trebuchet MS" w:hAnsi="Trebuchet MS" w:cs="Times New Roman"/>
          <w:sz w:val="24"/>
          <w:szCs w:val="24"/>
        </w:rPr>
        <w:t>them</w:t>
      </w:r>
      <w:r w:rsidR="007E76BD" w:rsidRPr="008D353E">
        <w:rPr>
          <w:rFonts w:ascii="Trebuchet MS" w:hAnsi="Trebuchet MS" w:cs="Times New Roman"/>
          <w:sz w:val="24"/>
          <w:szCs w:val="24"/>
        </w:rPr>
        <w:t xml:space="preserve"> </w:t>
      </w:r>
      <w:r w:rsidRPr="008D353E">
        <w:rPr>
          <w:rFonts w:ascii="Trebuchet MS" w:hAnsi="Trebuchet MS" w:cs="Times New Roman"/>
          <w:sz w:val="24"/>
          <w:szCs w:val="24"/>
        </w:rPr>
        <w:t xml:space="preserve">only to recommend “measures needed to augment the Consolidated Fund of a State to supplement the resources of the Panchayats and Municipalities in the State, on the basis of the recommendations made by the Finance Commission of the State”. Thus, the role of State and State Finance Commission is central to decentralisation. The existing constitutional framework does not </w:t>
      </w:r>
      <w:r w:rsidR="009C1B02" w:rsidRPr="008D353E">
        <w:rPr>
          <w:rFonts w:ascii="Trebuchet MS" w:hAnsi="Trebuchet MS" w:cs="Times New Roman"/>
          <w:sz w:val="24"/>
          <w:szCs w:val="24"/>
        </w:rPr>
        <w:t xml:space="preserve">envisage </w:t>
      </w:r>
      <w:r w:rsidRPr="008D353E">
        <w:rPr>
          <w:rFonts w:ascii="Trebuchet MS" w:hAnsi="Trebuchet MS" w:cs="Times New Roman"/>
          <w:sz w:val="24"/>
          <w:szCs w:val="24"/>
        </w:rPr>
        <w:t>“one-</w:t>
      </w:r>
      <w:r w:rsidR="00076A38" w:rsidRPr="008D353E">
        <w:rPr>
          <w:rFonts w:ascii="Trebuchet MS" w:hAnsi="Trebuchet MS" w:cs="Times New Roman"/>
          <w:sz w:val="24"/>
          <w:szCs w:val="24"/>
        </w:rPr>
        <w:t xml:space="preserve">size fits all” decentralisation designed by the Union Government. </w:t>
      </w:r>
      <w:r w:rsidRPr="008D353E">
        <w:rPr>
          <w:rFonts w:ascii="Trebuchet MS" w:hAnsi="Trebuchet MS" w:cs="Times New Roman"/>
          <w:sz w:val="24"/>
          <w:szCs w:val="24"/>
        </w:rPr>
        <w:t xml:space="preserve">  </w:t>
      </w:r>
    </w:p>
    <w:p w:rsidR="00151090" w:rsidRDefault="00115E5E" w:rsidP="00024736">
      <w:pPr>
        <w:pStyle w:val="NoSpacing"/>
        <w:spacing w:before="240" w:after="120" w:line="480" w:lineRule="auto"/>
        <w:jc w:val="both"/>
        <w:rPr>
          <w:rFonts w:ascii="Verdana" w:hAnsi="Verdana" w:cs="Times New Roman"/>
        </w:rPr>
      </w:pPr>
      <w:r>
        <w:rPr>
          <w:rFonts w:ascii="Verdana" w:hAnsi="Verdana" w:cs="Times New Roman"/>
        </w:rPr>
        <w:tab/>
      </w:r>
      <w:r w:rsidR="003164E2">
        <w:rPr>
          <w:rFonts w:ascii="Verdana" w:hAnsi="Verdana" w:cs="Times New Roman"/>
        </w:rPr>
        <w:t>A</w:t>
      </w:r>
      <w:r>
        <w:rPr>
          <w:rFonts w:ascii="Verdana" w:hAnsi="Verdana" w:cs="Times New Roman"/>
        </w:rPr>
        <w:t xml:space="preserve">part from the questionable merits of a centrally designed democratic </w:t>
      </w:r>
      <w:proofErr w:type="spellStart"/>
      <w:r>
        <w:rPr>
          <w:rFonts w:ascii="Verdana" w:hAnsi="Verdana" w:cs="Times New Roman"/>
        </w:rPr>
        <w:t>decentralisation</w:t>
      </w:r>
      <w:proofErr w:type="spellEnd"/>
      <w:r>
        <w:rPr>
          <w:rFonts w:ascii="Verdana" w:hAnsi="Verdana" w:cs="Times New Roman"/>
        </w:rPr>
        <w:t xml:space="preserve"> bypassing the </w:t>
      </w:r>
      <w:r w:rsidR="003164E2">
        <w:rPr>
          <w:rFonts w:ascii="Verdana" w:hAnsi="Verdana" w:cs="Times New Roman"/>
        </w:rPr>
        <w:t xml:space="preserve">elected bodies at State level, the political sensitivity of the idea should not be ignored.  </w:t>
      </w:r>
    </w:p>
    <w:p w:rsidR="00B15A7A" w:rsidRDefault="00287A38" w:rsidP="00024736">
      <w:pPr>
        <w:pStyle w:val="NoSpacing"/>
        <w:spacing w:before="240" w:after="120" w:line="480" w:lineRule="auto"/>
        <w:jc w:val="both"/>
        <w:rPr>
          <w:rFonts w:ascii="Verdana" w:hAnsi="Verdana" w:cs="Times New Roman"/>
        </w:rPr>
      </w:pPr>
      <w:r>
        <w:rPr>
          <w:rFonts w:ascii="Verdana" w:hAnsi="Verdana" w:cs="Times New Roman"/>
        </w:rPr>
        <w:tab/>
        <w:t>Secondly,</w:t>
      </w:r>
      <w:r w:rsidR="00590BB5">
        <w:rPr>
          <w:rFonts w:ascii="Verdana" w:hAnsi="Verdana" w:cs="Times New Roman"/>
        </w:rPr>
        <w:t xml:space="preserve"> i</w:t>
      </w:r>
      <w:r>
        <w:rPr>
          <w:rFonts w:ascii="Verdana" w:hAnsi="Verdana" w:cs="Times New Roman"/>
        </w:rPr>
        <w:t>t is important for fiscal federalism</w:t>
      </w:r>
      <w:r w:rsidR="00590BB5">
        <w:rPr>
          <w:rFonts w:ascii="Verdana" w:hAnsi="Verdana" w:cs="Times New Roman"/>
        </w:rPr>
        <w:t xml:space="preserve"> to </w:t>
      </w:r>
      <w:r w:rsidR="003E5F70">
        <w:rPr>
          <w:rFonts w:ascii="Verdana" w:hAnsi="Verdana" w:cs="Times New Roman"/>
        </w:rPr>
        <w:t>recognize</w:t>
      </w:r>
      <w:r w:rsidR="00590BB5">
        <w:rPr>
          <w:rFonts w:ascii="Verdana" w:hAnsi="Verdana" w:cs="Times New Roman"/>
        </w:rPr>
        <w:t xml:space="preserve"> </w:t>
      </w:r>
      <w:r w:rsidR="003E5F70">
        <w:rPr>
          <w:rFonts w:ascii="Verdana" w:hAnsi="Verdana" w:cs="Times New Roman"/>
        </w:rPr>
        <w:t xml:space="preserve">the </w:t>
      </w:r>
      <w:r w:rsidR="00590BB5">
        <w:rPr>
          <w:rFonts w:ascii="Verdana" w:hAnsi="Verdana" w:cs="Times New Roman"/>
        </w:rPr>
        <w:t>third imbalance, development imbalance</w:t>
      </w:r>
      <w:r w:rsidR="00212BDF">
        <w:rPr>
          <w:rFonts w:ascii="Verdana" w:hAnsi="Verdana" w:cs="Times New Roman"/>
        </w:rPr>
        <w:t>,</w:t>
      </w:r>
      <w:r>
        <w:rPr>
          <w:rFonts w:ascii="Verdana" w:hAnsi="Verdana" w:cs="Times New Roman"/>
        </w:rPr>
        <w:t xml:space="preserve"> but addressing it requires several policy actions.  It is appropriate that the framework recognises it and brings it under </w:t>
      </w:r>
      <w:r w:rsidR="00F66393">
        <w:rPr>
          <w:rFonts w:ascii="Verdana" w:hAnsi="Verdana" w:cs="Times New Roman"/>
        </w:rPr>
        <w:t xml:space="preserve">the </w:t>
      </w:r>
      <w:r w:rsidR="00F66393">
        <w:rPr>
          <w:rFonts w:ascii="Verdana" w:hAnsi="Verdana" w:cs="Times New Roman"/>
        </w:rPr>
        <w:lastRenderedPageBreak/>
        <w:t>purview of reform</w:t>
      </w:r>
      <w:r w:rsidR="00E37B2B">
        <w:rPr>
          <w:rFonts w:ascii="Verdana" w:hAnsi="Verdana" w:cs="Times New Roman"/>
        </w:rPr>
        <w:t xml:space="preserve">ed NITI Aayog </w:t>
      </w:r>
      <w:r w:rsidR="004A5252">
        <w:rPr>
          <w:rFonts w:ascii="Verdana" w:hAnsi="Verdana" w:cs="Times New Roman"/>
        </w:rPr>
        <w:t xml:space="preserve">by the </w:t>
      </w:r>
      <w:r w:rsidR="00E37B2B">
        <w:rPr>
          <w:rFonts w:ascii="Verdana" w:hAnsi="Verdana" w:cs="Times New Roman"/>
        </w:rPr>
        <w:t>Union Government, and not Finance Commission.</w:t>
      </w:r>
      <w:r w:rsidR="00F66393">
        <w:rPr>
          <w:rFonts w:ascii="Verdana" w:hAnsi="Verdana" w:cs="Times New Roman"/>
        </w:rPr>
        <w:t xml:space="preserve"> </w:t>
      </w:r>
    </w:p>
    <w:p w:rsidR="00217488" w:rsidRDefault="00F66393" w:rsidP="00B15A7A">
      <w:pPr>
        <w:pStyle w:val="NoSpacing"/>
        <w:spacing w:before="240" w:after="120" w:line="480" w:lineRule="auto"/>
        <w:ind w:firstLine="720"/>
        <w:jc w:val="both"/>
        <w:rPr>
          <w:rFonts w:ascii="Verdana" w:hAnsi="Verdana" w:cs="Times New Roman"/>
        </w:rPr>
      </w:pPr>
      <w:r>
        <w:rPr>
          <w:rFonts w:ascii="Verdana" w:hAnsi="Verdana" w:cs="Times New Roman"/>
        </w:rPr>
        <w:t>Thirdly, the distinction between consumption levels and stock of infrastructure can be translated</w:t>
      </w:r>
      <w:r w:rsidR="001B4FE1">
        <w:rPr>
          <w:rFonts w:ascii="Verdana" w:hAnsi="Verdana" w:cs="Times New Roman"/>
        </w:rPr>
        <w:t xml:space="preserve"> substantively</w:t>
      </w:r>
      <w:r>
        <w:rPr>
          <w:rFonts w:ascii="Verdana" w:hAnsi="Verdana" w:cs="Times New Roman"/>
        </w:rPr>
        <w:t xml:space="preserve"> into revenue and capital expenditure.  </w:t>
      </w:r>
      <w:r w:rsidR="004301F9">
        <w:rPr>
          <w:rFonts w:ascii="Verdana" w:hAnsi="Verdana" w:cs="Times New Roman"/>
        </w:rPr>
        <w:t xml:space="preserve">The two pillars proposed by Dr. Kelkar fit into this assumption.  </w:t>
      </w:r>
    </w:p>
    <w:p w:rsidR="00024F6B" w:rsidRDefault="00024F6B" w:rsidP="00024736">
      <w:pPr>
        <w:pStyle w:val="NoSpacing"/>
        <w:spacing w:before="240" w:after="120" w:line="480" w:lineRule="auto"/>
        <w:jc w:val="both"/>
        <w:rPr>
          <w:rFonts w:ascii="Verdana" w:hAnsi="Verdana" w:cs="Times New Roman"/>
        </w:rPr>
      </w:pPr>
      <w:r>
        <w:rPr>
          <w:rFonts w:ascii="Verdana" w:hAnsi="Verdana" w:cs="Times New Roman"/>
        </w:rPr>
        <w:tab/>
        <w:t xml:space="preserve">Fourthly, the framework proposes additional resources for NITI Aayog, which in effect means Union Government in fiscal federal framework.  The additional resources are to be met by reverting to the modest percentages in the devolution formula.  </w:t>
      </w:r>
      <w:r w:rsidR="0095423A">
        <w:rPr>
          <w:rFonts w:ascii="Verdana" w:hAnsi="Verdana" w:cs="Times New Roman"/>
        </w:rPr>
        <w:t xml:space="preserve">In effect, the proposal is to reduce the </w:t>
      </w:r>
      <w:r w:rsidR="006C525D">
        <w:rPr>
          <w:rFonts w:ascii="Verdana" w:hAnsi="Verdana" w:cs="Times New Roman"/>
        </w:rPr>
        <w:t>State's</w:t>
      </w:r>
      <w:r w:rsidR="0095423A">
        <w:rPr>
          <w:rFonts w:ascii="Verdana" w:hAnsi="Verdana" w:cs="Times New Roman"/>
        </w:rPr>
        <w:t xml:space="preserve"> share of tax devolution to provide fiscal space to Union to incur expenditure to correct developmental imbalances.  </w:t>
      </w:r>
      <w:r w:rsidR="002D3979">
        <w:rPr>
          <w:rFonts w:ascii="Verdana" w:hAnsi="Verdana" w:cs="Times New Roman"/>
        </w:rPr>
        <w:t xml:space="preserve">It is not clear whether this involves conditional Grants to Union.  </w:t>
      </w:r>
    </w:p>
    <w:p w:rsidR="00F422F7" w:rsidRDefault="00F332DE" w:rsidP="00F332DE">
      <w:pPr>
        <w:pStyle w:val="NoSpacing"/>
        <w:spacing w:before="240" w:after="120" w:line="480" w:lineRule="auto"/>
        <w:ind w:firstLine="720"/>
        <w:jc w:val="both"/>
        <w:rPr>
          <w:rFonts w:ascii="Verdana" w:hAnsi="Verdana" w:cs="Times New Roman"/>
        </w:rPr>
      </w:pPr>
      <w:r>
        <w:rPr>
          <w:rFonts w:ascii="Verdana" w:hAnsi="Verdana" w:cs="Times New Roman"/>
        </w:rPr>
        <w:t>As explained in Part I, t</w:t>
      </w:r>
      <w:r w:rsidR="00F422F7">
        <w:rPr>
          <w:rFonts w:ascii="Verdana" w:hAnsi="Verdana" w:cs="Times New Roman"/>
        </w:rPr>
        <w:t>he aggregate transfers from Union to State</w:t>
      </w:r>
      <w:r w:rsidR="00D5797F">
        <w:rPr>
          <w:rFonts w:ascii="Verdana" w:hAnsi="Verdana" w:cs="Times New Roman"/>
        </w:rPr>
        <w:t>s have</w:t>
      </w:r>
      <w:r w:rsidR="00F422F7">
        <w:rPr>
          <w:rFonts w:ascii="Verdana" w:hAnsi="Verdana" w:cs="Times New Roman"/>
        </w:rPr>
        <w:t xml:space="preserve"> not increased after the recommendation of </w:t>
      </w:r>
      <w:r w:rsidR="003E5F70">
        <w:rPr>
          <w:rFonts w:ascii="Verdana" w:hAnsi="Verdana" w:cs="Times New Roman"/>
        </w:rPr>
        <w:t xml:space="preserve">XIV </w:t>
      </w:r>
      <w:r w:rsidR="00F422F7">
        <w:rPr>
          <w:rFonts w:ascii="Verdana" w:hAnsi="Verdana" w:cs="Times New Roman"/>
        </w:rPr>
        <w:t xml:space="preserve">Finance Commission.  They remain at the historic trend.  </w:t>
      </w:r>
    </w:p>
    <w:p w:rsidR="00421662" w:rsidRDefault="00421662" w:rsidP="00024736">
      <w:pPr>
        <w:pStyle w:val="NoSpacing"/>
        <w:spacing w:before="240" w:after="120" w:line="480" w:lineRule="auto"/>
        <w:jc w:val="both"/>
        <w:rPr>
          <w:rFonts w:ascii="Verdana" w:hAnsi="Verdana" w:cs="Times New Roman"/>
        </w:rPr>
      </w:pPr>
      <w:r>
        <w:rPr>
          <w:rFonts w:ascii="Verdana" w:hAnsi="Verdana" w:cs="Times New Roman"/>
        </w:rPr>
        <w:tab/>
      </w:r>
      <w:r w:rsidR="00FB5C55">
        <w:rPr>
          <w:rFonts w:ascii="Verdana" w:hAnsi="Verdana" w:cs="Times New Roman"/>
        </w:rPr>
        <w:t>Fifthly, Dr. Kelkar pleads for reformed grants, conditional or unconditional.  This suggestion should be the foundation for the future work of NITI Aayog, recognising the infirmities. Indeed, for future</w:t>
      </w:r>
      <w:r w:rsidR="0033536D">
        <w:rPr>
          <w:rFonts w:ascii="Verdana" w:hAnsi="Verdana" w:cs="Times New Roman"/>
        </w:rPr>
        <w:t xml:space="preserve"> reforms</w:t>
      </w:r>
      <w:r w:rsidR="00FB5C55">
        <w:rPr>
          <w:rFonts w:ascii="Verdana" w:hAnsi="Verdana" w:cs="Times New Roman"/>
        </w:rPr>
        <w:t>, we need to evaluate the past</w:t>
      </w:r>
      <w:r w:rsidR="00F332DE">
        <w:rPr>
          <w:rFonts w:ascii="Verdana" w:hAnsi="Verdana" w:cs="Times New Roman"/>
        </w:rPr>
        <w:t xml:space="preserve"> and explore </w:t>
      </w:r>
      <w:r w:rsidR="00B35BA8">
        <w:rPr>
          <w:rFonts w:ascii="Verdana" w:hAnsi="Verdana" w:cs="Times New Roman"/>
        </w:rPr>
        <w:t xml:space="preserve">new </w:t>
      </w:r>
      <w:r w:rsidR="00F332DE">
        <w:rPr>
          <w:rFonts w:ascii="Verdana" w:hAnsi="Verdana" w:cs="Times New Roman"/>
        </w:rPr>
        <w:t>options</w:t>
      </w:r>
      <w:r w:rsidR="00FB5C55">
        <w:rPr>
          <w:rFonts w:ascii="Verdana" w:hAnsi="Verdana" w:cs="Times New Roman"/>
        </w:rPr>
        <w:t xml:space="preserve">.  It is possible that cause of development balance would be better served by replacing current centrally sponsored schemes, (thus eliminating </w:t>
      </w:r>
      <w:r w:rsidR="00F332DE">
        <w:rPr>
          <w:rFonts w:ascii="Verdana" w:hAnsi="Verdana" w:cs="Times New Roman"/>
        </w:rPr>
        <w:t xml:space="preserve">Centre's </w:t>
      </w:r>
      <w:r w:rsidR="00FB5C55">
        <w:rPr>
          <w:rFonts w:ascii="Verdana" w:hAnsi="Verdana" w:cs="Times New Roman"/>
        </w:rPr>
        <w:t xml:space="preserve">revenue deficit) with enhanced access to </w:t>
      </w:r>
      <w:r w:rsidR="00F6485E">
        <w:rPr>
          <w:rFonts w:ascii="Verdana" w:hAnsi="Verdana" w:cs="Times New Roman"/>
        </w:rPr>
        <w:t xml:space="preserve">poorer </w:t>
      </w:r>
      <w:r w:rsidR="00FB5C55">
        <w:rPr>
          <w:rFonts w:ascii="Verdana" w:hAnsi="Verdana" w:cs="Times New Roman"/>
        </w:rPr>
        <w:t xml:space="preserve">States to borrow for capital expenditures.  </w:t>
      </w:r>
    </w:p>
    <w:p w:rsidR="00037199" w:rsidRDefault="00037199" w:rsidP="00024736">
      <w:pPr>
        <w:pStyle w:val="NoSpacing"/>
        <w:spacing w:before="240" w:after="120" w:line="480" w:lineRule="auto"/>
        <w:jc w:val="both"/>
        <w:rPr>
          <w:rFonts w:ascii="Verdana" w:hAnsi="Verdana" w:cs="Times New Roman"/>
        </w:rPr>
      </w:pPr>
      <w:r>
        <w:rPr>
          <w:rFonts w:ascii="Verdana" w:hAnsi="Verdana" w:cs="Times New Roman"/>
        </w:rPr>
        <w:lastRenderedPageBreak/>
        <w:tab/>
        <w:t xml:space="preserve">Dr. Kelkar proposes Four Pillars for new fiscal federalism; Finance Commission being the First Pillar, NITI Aayog 2.0 will be the Second Pillar of the New Fiscal Federalism.  </w:t>
      </w:r>
    </w:p>
    <w:p w:rsidR="00967866" w:rsidRDefault="0011259C" w:rsidP="00D812C5">
      <w:pPr>
        <w:spacing w:before="240" w:after="0" w:line="480" w:lineRule="auto"/>
        <w:jc w:val="both"/>
        <w:rPr>
          <w:rFonts w:ascii="Trebuchet MS" w:hAnsi="Trebuchet MS" w:cs="Times New Roman"/>
          <w:sz w:val="24"/>
          <w:szCs w:val="24"/>
        </w:rPr>
      </w:pPr>
      <w:r>
        <w:rPr>
          <w:rFonts w:ascii="Trebuchet MS" w:hAnsi="Trebuchet MS" w:cs="Times New Roman"/>
          <w:sz w:val="24"/>
          <w:szCs w:val="24"/>
        </w:rPr>
        <w:tab/>
      </w:r>
      <w:r w:rsidR="003160A5">
        <w:rPr>
          <w:rFonts w:ascii="Trebuchet MS" w:hAnsi="Trebuchet MS" w:cs="Times New Roman"/>
          <w:sz w:val="24"/>
          <w:szCs w:val="24"/>
        </w:rPr>
        <w:t>The first pillar is the Finance Commission and righ</w:t>
      </w:r>
      <w:r w:rsidR="00CF0B59">
        <w:rPr>
          <w:rFonts w:ascii="Trebuchet MS" w:hAnsi="Trebuchet MS" w:cs="Times New Roman"/>
          <w:sz w:val="24"/>
          <w:szCs w:val="24"/>
        </w:rPr>
        <w:t xml:space="preserve">tly so.  The proposal is that Finance Commission </w:t>
      </w:r>
      <w:r w:rsidR="003160A5">
        <w:rPr>
          <w:rFonts w:ascii="Trebuchet MS" w:hAnsi="Trebuchet MS" w:cs="Times New Roman"/>
          <w:sz w:val="24"/>
          <w:szCs w:val="24"/>
        </w:rPr>
        <w:t>should deal with differing levels of per capita</w:t>
      </w:r>
      <w:r w:rsidR="005E66FE">
        <w:rPr>
          <w:rFonts w:ascii="Trebuchet MS" w:hAnsi="Trebuchet MS" w:cs="Times New Roman"/>
          <w:sz w:val="24"/>
          <w:szCs w:val="24"/>
        </w:rPr>
        <w:t xml:space="preserve"> </w:t>
      </w:r>
      <w:r w:rsidR="003160A5">
        <w:rPr>
          <w:rFonts w:ascii="Trebuchet MS" w:hAnsi="Trebuchet MS" w:cs="Times New Roman"/>
          <w:sz w:val="24"/>
          <w:szCs w:val="24"/>
        </w:rPr>
        <w:t xml:space="preserve">consumption of basic public services.  </w:t>
      </w:r>
      <w:r w:rsidR="001263AF">
        <w:rPr>
          <w:rFonts w:ascii="Trebuchet MS" w:hAnsi="Trebuchet MS" w:cs="Times New Roman"/>
          <w:sz w:val="24"/>
          <w:szCs w:val="24"/>
        </w:rPr>
        <w:t>B</w:t>
      </w:r>
      <w:r w:rsidR="000329F9">
        <w:rPr>
          <w:rFonts w:ascii="Trebuchet MS" w:hAnsi="Trebuchet MS" w:cs="Times New Roman"/>
          <w:sz w:val="24"/>
          <w:szCs w:val="24"/>
        </w:rPr>
        <w:t xml:space="preserve">road approach of Dr. Kelkar </w:t>
      </w:r>
      <w:r w:rsidR="003160A5">
        <w:rPr>
          <w:rFonts w:ascii="Trebuchet MS" w:hAnsi="Trebuchet MS" w:cs="Times New Roman"/>
          <w:sz w:val="24"/>
          <w:szCs w:val="24"/>
        </w:rPr>
        <w:t xml:space="preserve">is consistent with the position taken </w:t>
      </w:r>
      <w:r w:rsidR="000329F9">
        <w:rPr>
          <w:rFonts w:ascii="Trebuchet MS" w:hAnsi="Trebuchet MS" w:cs="Times New Roman"/>
          <w:sz w:val="24"/>
          <w:szCs w:val="24"/>
        </w:rPr>
        <w:t xml:space="preserve">by the First Finance Commission.  </w:t>
      </w:r>
      <w:r w:rsidR="005350D5">
        <w:rPr>
          <w:rFonts w:ascii="Trebuchet MS" w:hAnsi="Trebuchet MS" w:cs="Times New Roman"/>
          <w:sz w:val="24"/>
          <w:szCs w:val="24"/>
        </w:rPr>
        <w:t xml:space="preserve">The </w:t>
      </w:r>
      <w:r w:rsidR="000329F9">
        <w:rPr>
          <w:rFonts w:ascii="Trebuchet MS" w:hAnsi="Trebuchet MS" w:cs="Times New Roman"/>
          <w:sz w:val="24"/>
          <w:szCs w:val="24"/>
        </w:rPr>
        <w:t xml:space="preserve">First </w:t>
      </w:r>
      <w:r w:rsidR="005350D5">
        <w:rPr>
          <w:rFonts w:ascii="Trebuchet MS" w:hAnsi="Trebuchet MS" w:cs="Times New Roman"/>
          <w:sz w:val="24"/>
          <w:szCs w:val="24"/>
        </w:rPr>
        <w:t>Commission made it explicit that it was primarily concerned with the distribution of revenues between the Centre and the States and wit</w:t>
      </w:r>
      <w:r w:rsidR="001029D2">
        <w:rPr>
          <w:rFonts w:ascii="Trebuchet MS" w:hAnsi="Trebuchet MS" w:cs="Times New Roman"/>
          <w:sz w:val="24"/>
          <w:szCs w:val="24"/>
        </w:rPr>
        <w:t>h the determination of grants a</w:t>
      </w:r>
      <w:r w:rsidR="005350D5">
        <w:rPr>
          <w:rFonts w:ascii="Trebuchet MS" w:hAnsi="Trebuchet MS" w:cs="Times New Roman"/>
          <w:sz w:val="24"/>
          <w:szCs w:val="24"/>
        </w:rPr>
        <w:t xml:space="preserve">nd that the capital needs of both the Centre and the States had to be met largely from borrowed funds.  </w:t>
      </w:r>
    </w:p>
    <w:p w:rsidR="00091A51" w:rsidRPr="00624393" w:rsidRDefault="00C27897">
      <w:pPr>
        <w:spacing w:before="240" w:after="0" w:line="480" w:lineRule="auto"/>
        <w:jc w:val="both"/>
        <w:rPr>
          <w:rFonts w:ascii="Verdana" w:eastAsia="Times New Roman" w:hAnsi="Verdana" w:cs="Times New Roman"/>
          <w:lang w:val="en-US"/>
        </w:rPr>
      </w:pPr>
      <w:r w:rsidRPr="00624393">
        <w:rPr>
          <w:rFonts w:ascii="Verdana" w:eastAsia="Times New Roman" w:hAnsi="Verdana" w:cs="Times New Roman"/>
          <w:lang w:val="en-US"/>
        </w:rPr>
        <w:tab/>
        <w:t>This position was altered by the decision of the Government of India to exclude revenue expenditures under Plan account from the jurisdiction of the Finance Commission.  This decision was taken on the basis of the dissent note</w:t>
      </w:r>
      <w:r w:rsidR="005E66FE" w:rsidRPr="00624393">
        <w:rPr>
          <w:rFonts w:ascii="Verdana" w:eastAsia="Times New Roman" w:hAnsi="Verdana" w:cs="Times New Roman"/>
          <w:lang w:val="en-US"/>
        </w:rPr>
        <w:t xml:space="preserve"> </w:t>
      </w:r>
      <w:r w:rsidR="007820B6" w:rsidRPr="00624393">
        <w:rPr>
          <w:rFonts w:ascii="Verdana" w:eastAsia="Times New Roman" w:hAnsi="Verdana" w:cs="Times New Roman"/>
          <w:lang w:val="en-US"/>
        </w:rPr>
        <w:t>of the Member Secretary of the 3</w:t>
      </w:r>
      <w:r w:rsidR="00091A51" w:rsidRPr="00624393">
        <w:rPr>
          <w:rFonts w:ascii="Verdana" w:eastAsia="Times New Roman" w:hAnsi="Verdana" w:cs="Times New Roman"/>
          <w:vertAlign w:val="superscript"/>
          <w:lang w:val="en-US"/>
        </w:rPr>
        <w:t>rd</w:t>
      </w:r>
      <w:r w:rsidR="007820B6" w:rsidRPr="00624393">
        <w:rPr>
          <w:rFonts w:ascii="Verdana" w:eastAsia="Times New Roman" w:hAnsi="Verdana" w:cs="Times New Roman"/>
          <w:lang w:val="en-US"/>
        </w:rPr>
        <w:t xml:space="preserve"> Finance Commission. In other words, </w:t>
      </w:r>
      <w:r w:rsidR="00527153" w:rsidRPr="00624393">
        <w:rPr>
          <w:rFonts w:ascii="Verdana" w:eastAsia="Times New Roman" w:hAnsi="Verdana" w:cs="Times New Roman"/>
          <w:lang w:val="en-US"/>
        </w:rPr>
        <w:t>bifurcation of revenue expenditure between plan and non-plan reduced the fiscal space for Finance Commission to make resources available for equitable provisioning of basic public services</w:t>
      </w:r>
      <w:r w:rsidRPr="00624393">
        <w:rPr>
          <w:rFonts w:ascii="Verdana" w:eastAsia="Times New Roman" w:hAnsi="Verdana" w:cs="Times New Roman"/>
          <w:lang w:val="en-US"/>
        </w:rPr>
        <w:t xml:space="preserve">.  However, this </w:t>
      </w:r>
      <w:r w:rsidR="00445EFE" w:rsidRPr="00624393">
        <w:rPr>
          <w:rFonts w:ascii="Verdana" w:eastAsia="Times New Roman" w:hAnsi="Verdana" w:cs="Times New Roman"/>
          <w:lang w:val="en-US"/>
        </w:rPr>
        <w:t xml:space="preserve">bifurcation was ended </w:t>
      </w:r>
      <w:r w:rsidRPr="00624393">
        <w:rPr>
          <w:rFonts w:ascii="Verdana" w:eastAsia="Times New Roman" w:hAnsi="Verdana" w:cs="Times New Roman"/>
          <w:lang w:val="en-US"/>
        </w:rPr>
        <w:t xml:space="preserve">by the </w:t>
      </w:r>
      <w:r w:rsidR="003C3101">
        <w:rPr>
          <w:rFonts w:ascii="Verdana" w:eastAsia="Times New Roman" w:hAnsi="Verdana" w:cs="Times New Roman"/>
          <w:lang w:val="en-US"/>
        </w:rPr>
        <w:t>XIV</w:t>
      </w:r>
      <w:r w:rsidRPr="00624393">
        <w:rPr>
          <w:rFonts w:ascii="Verdana" w:eastAsia="Times New Roman" w:hAnsi="Verdana" w:cs="Times New Roman"/>
          <w:lang w:val="en-US"/>
        </w:rPr>
        <w:t xml:space="preserve"> Finance Commission</w:t>
      </w:r>
      <w:r w:rsidR="00527153" w:rsidRPr="00624393">
        <w:rPr>
          <w:rFonts w:ascii="Verdana" w:eastAsia="Times New Roman" w:hAnsi="Verdana" w:cs="Times New Roman"/>
          <w:lang w:val="en-US"/>
        </w:rPr>
        <w:t xml:space="preserve"> by taking into consideration aggregate revenue expenditure while assessing </w:t>
      </w:r>
      <w:r w:rsidR="003E5F70">
        <w:rPr>
          <w:rFonts w:ascii="Verdana" w:eastAsia="Times New Roman" w:hAnsi="Verdana" w:cs="Times New Roman"/>
          <w:lang w:val="en-US"/>
        </w:rPr>
        <w:t xml:space="preserve">the </w:t>
      </w:r>
      <w:r w:rsidR="00527153" w:rsidRPr="00624393">
        <w:rPr>
          <w:rFonts w:ascii="Verdana" w:eastAsia="Times New Roman" w:hAnsi="Verdana" w:cs="Times New Roman"/>
          <w:lang w:val="en-US"/>
        </w:rPr>
        <w:t>fiscal needs of States</w:t>
      </w:r>
      <w:r w:rsidRPr="00624393">
        <w:rPr>
          <w:rFonts w:ascii="Verdana" w:eastAsia="Times New Roman" w:hAnsi="Verdana" w:cs="Times New Roman"/>
          <w:lang w:val="en-US"/>
        </w:rPr>
        <w:t xml:space="preserve">.  </w:t>
      </w:r>
    </w:p>
    <w:p w:rsidR="002D2745" w:rsidRDefault="00C27897" w:rsidP="00C27897">
      <w:pPr>
        <w:spacing w:before="240" w:after="0" w:line="480" w:lineRule="auto"/>
        <w:jc w:val="both"/>
        <w:rPr>
          <w:rFonts w:ascii="Verdana" w:eastAsia="Times New Roman" w:hAnsi="Verdana" w:cs="Times New Roman"/>
          <w:lang w:val="en-US"/>
        </w:rPr>
      </w:pPr>
      <w:r w:rsidRPr="00C27897">
        <w:rPr>
          <w:rFonts w:ascii="Verdana" w:eastAsia="Times New Roman" w:hAnsi="Verdana" w:cs="Times New Roman"/>
          <w:lang w:val="en-US"/>
        </w:rPr>
        <w:tab/>
      </w:r>
      <w:r w:rsidR="002B7CC1">
        <w:rPr>
          <w:rFonts w:ascii="Verdana" w:eastAsia="Times New Roman" w:hAnsi="Verdana" w:cs="Times New Roman"/>
          <w:lang w:val="en-US"/>
        </w:rPr>
        <w:t>A</w:t>
      </w:r>
      <w:r w:rsidRPr="00C27897">
        <w:rPr>
          <w:rFonts w:ascii="Verdana" w:eastAsia="Times New Roman" w:hAnsi="Verdana" w:cs="Times New Roman"/>
          <w:lang w:val="en-US"/>
        </w:rPr>
        <w:t xml:space="preserve"> further complication has been introduced with the Government of India incurring revenue deficits </w:t>
      </w:r>
      <w:r w:rsidR="005E66FE">
        <w:rPr>
          <w:rFonts w:ascii="Verdana" w:eastAsia="Times New Roman" w:hAnsi="Verdana" w:cs="Times New Roman"/>
          <w:lang w:val="en-US"/>
        </w:rPr>
        <w:t xml:space="preserve">since </w:t>
      </w:r>
      <w:r w:rsidR="002B7CC1">
        <w:rPr>
          <w:rFonts w:ascii="Verdana" w:eastAsia="Times New Roman" w:hAnsi="Verdana" w:cs="Times New Roman"/>
          <w:lang w:val="en-US"/>
        </w:rPr>
        <w:t>1980s,</w:t>
      </w:r>
      <w:r w:rsidRPr="00C27897">
        <w:rPr>
          <w:rFonts w:ascii="Verdana" w:eastAsia="Times New Roman" w:hAnsi="Verdana" w:cs="Times New Roman"/>
          <w:lang w:val="en-US"/>
        </w:rPr>
        <w:t xml:space="preserve"> </w:t>
      </w:r>
      <w:r w:rsidR="002D4E49">
        <w:rPr>
          <w:rFonts w:ascii="Verdana" w:eastAsia="Times New Roman" w:hAnsi="Verdana" w:cs="Times New Roman"/>
          <w:lang w:val="en-US"/>
        </w:rPr>
        <w:t xml:space="preserve">requiring </w:t>
      </w:r>
      <w:r w:rsidRPr="00C27897">
        <w:rPr>
          <w:rFonts w:ascii="Verdana" w:eastAsia="Times New Roman" w:hAnsi="Verdana" w:cs="Times New Roman"/>
          <w:lang w:val="en-US"/>
        </w:rPr>
        <w:t>borrowed funds to maintain the vertical and horizontal balance</w:t>
      </w:r>
      <w:r w:rsidR="005E66FE">
        <w:rPr>
          <w:rFonts w:ascii="Verdana" w:eastAsia="Times New Roman" w:hAnsi="Verdana" w:cs="Times New Roman"/>
          <w:lang w:val="en-US"/>
        </w:rPr>
        <w:t xml:space="preserve"> on revenue account</w:t>
      </w:r>
      <w:r w:rsidRPr="00C27897">
        <w:rPr>
          <w:rFonts w:ascii="Verdana" w:eastAsia="Times New Roman" w:hAnsi="Verdana" w:cs="Times New Roman"/>
          <w:lang w:val="en-US"/>
        </w:rPr>
        <w:t xml:space="preserve">.  Further, a few Finance </w:t>
      </w:r>
      <w:r w:rsidRPr="00C27897">
        <w:rPr>
          <w:rFonts w:ascii="Verdana" w:eastAsia="Times New Roman" w:hAnsi="Verdana" w:cs="Times New Roman"/>
          <w:lang w:val="en-US"/>
        </w:rPr>
        <w:lastRenderedPageBreak/>
        <w:t>Commissions</w:t>
      </w:r>
      <w:r w:rsidR="00CF0B59">
        <w:rPr>
          <w:rFonts w:ascii="Verdana" w:eastAsia="Times New Roman" w:hAnsi="Verdana" w:cs="Times New Roman"/>
          <w:lang w:val="en-US"/>
        </w:rPr>
        <w:t xml:space="preserve"> in recent years</w:t>
      </w:r>
      <w:r w:rsidRPr="00C27897">
        <w:rPr>
          <w:rFonts w:ascii="Verdana" w:eastAsia="Times New Roman" w:hAnsi="Verdana" w:cs="Times New Roman"/>
          <w:lang w:val="en-US"/>
        </w:rPr>
        <w:t xml:space="preserve"> were recommending capital grants, but that was an exception than a rule.  </w:t>
      </w:r>
    </w:p>
    <w:p w:rsidR="0003558A" w:rsidRDefault="00C27897" w:rsidP="002D2745">
      <w:pPr>
        <w:spacing w:before="240" w:after="0" w:line="480" w:lineRule="auto"/>
        <w:ind w:firstLine="720"/>
        <w:jc w:val="both"/>
        <w:rPr>
          <w:rFonts w:ascii="Verdana" w:eastAsia="Times New Roman" w:hAnsi="Verdana" w:cs="Times New Roman"/>
          <w:lang w:val="en-US"/>
        </w:rPr>
      </w:pPr>
      <w:r w:rsidRPr="00C27897">
        <w:rPr>
          <w:rFonts w:ascii="Verdana" w:eastAsia="Times New Roman" w:hAnsi="Verdana" w:cs="Times New Roman"/>
          <w:lang w:val="en-US"/>
        </w:rPr>
        <w:t xml:space="preserve">In brief, therefore, it is possible to operationalise Dr. </w:t>
      </w:r>
      <w:proofErr w:type="spellStart"/>
      <w:r w:rsidRPr="00C27897">
        <w:rPr>
          <w:rFonts w:ascii="Verdana" w:eastAsia="Times New Roman" w:hAnsi="Verdana" w:cs="Times New Roman"/>
          <w:lang w:val="en-US"/>
        </w:rPr>
        <w:t>Kelkar's</w:t>
      </w:r>
      <w:proofErr w:type="spellEnd"/>
      <w:r w:rsidRPr="00C27897">
        <w:rPr>
          <w:rFonts w:ascii="Verdana" w:eastAsia="Times New Roman" w:hAnsi="Verdana" w:cs="Times New Roman"/>
          <w:lang w:val="en-US"/>
        </w:rPr>
        <w:t xml:space="preserve"> first pillar provided that the Finance Commission's Terms of Reference restrict themselves to the sharing of taxes and the Grants-in-Aid is restricted to financing the </w:t>
      </w:r>
      <w:r w:rsidR="005E66FE">
        <w:rPr>
          <w:rFonts w:ascii="Verdana" w:eastAsia="Times New Roman" w:hAnsi="Verdana" w:cs="Times New Roman"/>
          <w:lang w:val="en-US"/>
        </w:rPr>
        <w:t xml:space="preserve">revenue </w:t>
      </w:r>
      <w:r w:rsidRPr="00C27897">
        <w:rPr>
          <w:rFonts w:ascii="Verdana" w:eastAsia="Times New Roman" w:hAnsi="Verdana" w:cs="Times New Roman"/>
          <w:lang w:val="en-US"/>
        </w:rPr>
        <w:t>gap</w:t>
      </w:r>
      <w:r w:rsidR="0010146B">
        <w:rPr>
          <w:rFonts w:ascii="Verdana" w:eastAsia="Times New Roman" w:hAnsi="Verdana" w:cs="Times New Roman"/>
          <w:lang w:val="en-US"/>
        </w:rPr>
        <w:t xml:space="preserve"> of the S</w:t>
      </w:r>
      <w:r w:rsidR="005E66FE">
        <w:rPr>
          <w:rFonts w:ascii="Verdana" w:eastAsia="Times New Roman" w:hAnsi="Verdana" w:cs="Times New Roman"/>
          <w:lang w:val="en-US"/>
        </w:rPr>
        <w:t>tates</w:t>
      </w:r>
      <w:r w:rsidRPr="00C27897">
        <w:rPr>
          <w:rFonts w:ascii="Verdana" w:eastAsia="Times New Roman" w:hAnsi="Verdana" w:cs="Times New Roman"/>
          <w:lang w:val="en-US"/>
        </w:rPr>
        <w:t xml:space="preserve">.  The </w:t>
      </w:r>
      <w:r w:rsidR="003C3101">
        <w:rPr>
          <w:rFonts w:ascii="Verdana" w:eastAsia="Times New Roman" w:hAnsi="Verdana" w:cs="Times New Roman"/>
          <w:lang w:val="en-US"/>
        </w:rPr>
        <w:t>XIV</w:t>
      </w:r>
      <w:r w:rsidRPr="00C27897">
        <w:rPr>
          <w:rFonts w:ascii="Verdana" w:eastAsia="Times New Roman" w:hAnsi="Verdana" w:cs="Times New Roman"/>
          <w:lang w:val="en-US"/>
        </w:rPr>
        <w:t xml:space="preserve"> Finance Commission tried to follow exactly this</w:t>
      </w:r>
      <w:r w:rsidR="00B15A7A">
        <w:rPr>
          <w:rFonts w:ascii="Verdana" w:eastAsia="Times New Roman" w:hAnsi="Verdana" w:cs="Times New Roman"/>
          <w:lang w:val="en-US"/>
        </w:rPr>
        <w:t xml:space="preserve"> logic.  The binding constraint</w:t>
      </w:r>
      <w:r w:rsidRPr="00C27897">
        <w:rPr>
          <w:rFonts w:ascii="Verdana" w:eastAsia="Times New Roman" w:hAnsi="Verdana" w:cs="Times New Roman"/>
          <w:lang w:val="en-US"/>
        </w:rPr>
        <w:t xml:space="preserve"> in implementing Dr. </w:t>
      </w:r>
      <w:proofErr w:type="spellStart"/>
      <w:r w:rsidRPr="00C27897">
        <w:rPr>
          <w:rFonts w:ascii="Verdana" w:eastAsia="Times New Roman" w:hAnsi="Verdana" w:cs="Times New Roman"/>
          <w:lang w:val="en-US"/>
        </w:rPr>
        <w:t>Kelkar's</w:t>
      </w:r>
      <w:proofErr w:type="spellEnd"/>
      <w:r w:rsidRPr="00C27897">
        <w:rPr>
          <w:rFonts w:ascii="Verdana" w:eastAsia="Times New Roman" w:hAnsi="Verdana" w:cs="Times New Roman"/>
          <w:lang w:val="en-US"/>
        </w:rPr>
        <w:t xml:space="preserve"> first pillar is the continued </w:t>
      </w:r>
      <w:r w:rsidR="003E5F70">
        <w:rPr>
          <w:rFonts w:ascii="Verdana" w:eastAsia="Times New Roman" w:hAnsi="Verdana" w:cs="Times New Roman"/>
          <w:lang w:val="en-US"/>
        </w:rPr>
        <w:t xml:space="preserve">incurring </w:t>
      </w:r>
      <w:r w:rsidRPr="00C27897">
        <w:rPr>
          <w:rFonts w:ascii="Verdana" w:eastAsia="Times New Roman" w:hAnsi="Verdana" w:cs="Times New Roman"/>
          <w:lang w:val="en-US"/>
        </w:rPr>
        <w:t xml:space="preserve">of revenue deficit </w:t>
      </w:r>
      <w:r w:rsidR="003E5F70">
        <w:rPr>
          <w:rFonts w:ascii="Verdana" w:eastAsia="Times New Roman" w:hAnsi="Verdana" w:cs="Times New Roman"/>
          <w:lang w:val="en-US"/>
        </w:rPr>
        <w:t xml:space="preserve">by </w:t>
      </w:r>
      <w:r w:rsidRPr="00C27897">
        <w:rPr>
          <w:rFonts w:ascii="Verdana" w:eastAsia="Times New Roman" w:hAnsi="Verdana" w:cs="Times New Roman"/>
          <w:lang w:val="en-US"/>
        </w:rPr>
        <w:t>the Union Government.</w:t>
      </w:r>
    </w:p>
    <w:p w:rsidR="00101DD6" w:rsidRDefault="0003558A" w:rsidP="00D812C5">
      <w:pPr>
        <w:spacing w:before="240" w:after="0" w:line="480" w:lineRule="auto"/>
        <w:jc w:val="both"/>
        <w:rPr>
          <w:rFonts w:ascii="Verdana" w:hAnsi="Verdana" w:cs="Times New Roman"/>
        </w:rPr>
      </w:pPr>
      <w:r>
        <w:rPr>
          <w:rFonts w:ascii="Verdana" w:eastAsia="Times New Roman" w:hAnsi="Verdana" w:cs="Times New Roman"/>
          <w:lang w:val="en-US"/>
        </w:rPr>
        <w:tab/>
      </w:r>
      <w:r w:rsidR="00AD109E" w:rsidRPr="002C71C3">
        <w:rPr>
          <w:rFonts w:ascii="Verdana" w:hAnsi="Verdana" w:cs="Times New Roman"/>
        </w:rPr>
        <w:t>The second pillar, namely, NITI Aayog</w:t>
      </w:r>
      <w:r w:rsidR="00B36EDD">
        <w:rPr>
          <w:rFonts w:ascii="Verdana" w:hAnsi="Verdana" w:cs="Times New Roman"/>
        </w:rPr>
        <w:t xml:space="preserve"> 2.0</w:t>
      </w:r>
      <w:r w:rsidR="001A065C" w:rsidRPr="002C71C3">
        <w:rPr>
          <w:rFonts w:ascii="Verdana" w:hAnsi="Verdana" w:cs="Times New Roman"/>
        </w:rPr>
        <w:t xml:space="preserve">, </w:t>
      </w:r>
      <w:r w:rsidR="00B36EDD">
        <w:rPr>
          <w:rFonts w:ascii="Verdana" w:hAnsi="Verdana" w:cs="Times New Roman"/>
        </w:rPr>
        <w:t>an improved version of</w:t>
      </w:r>
      <w:r w:rsidR="001A065C" w:rsidRPr="002C71C3">
        <w:rPr>
          <w:rFonts w:ascii="Verdana" w:hAnsi="Verdana" w:cs="Times New Roman"/>
        </w:rPr>
        <w:t xml:space="preserve"> Planning Commission,</w:t>
      </w:r>
      <w:r w:rsidR="00AD109E" w:rsidRPr="002C71C3">
        <w:rPr>
          <w:rFonts w:ascii="Verdana" w:hAnsi="Verdana" w:cs="Times New Roman"/>
        </w:rPr>
        <w:t xml:space="preserve"> is no doubt an appropriate body to consider the issue of </w:t>
      </w:r>
      <w:r w:rsidR="00240F1D">
        <w:rPr>
          <w:rFonts w:ascii="Verdana" w:hAnsi="Verdana" w:cs="Times New Roman"/>
        </w:rPr>
        <w:t xml:space="preserve">development imbalance or </w:t>
      </w:r>
      <w:r w:rsidR="0010146B">
        <w:rPr>
          <w:rFonts w:ascii="Verdana" w:hAnsi="Verdana" w:cs="Times New Roman"/>
        </w:rPr>
        <w:t>Inter-S</w:t>
      </w:r>
      <w:r w:rsidR="00AD109E" w:rsidRPr="002C71C3">
        <w:rPr>
          <w:rFonts w:ascii="Verdana" w:hAnsi="Verdana" w:cs="Times New Roman"/>
        </w:rPr>
        <w:t xml:space="preserve">tate inequalities.  </w:t>
      </w:r>
      <w:r w:rsidR="002C71C3">
        <w:rPr>
          <w:rFonts w:ascii="Verdana" w:hAnsi="Verdana" w:cs="Times New Roman"/>
        </w:rPr>
        <w:t>There are thre</w:t>
      </w:r>
      <w:r w:rsidR="00B139AD">
        <w:rPr>
          <w:rFonts w:ascii="Verdana" w:hAnsi="Verdana" w:cs="Times New Roman"/>
        </w:rPr>
        <w:t xml:space="preserve">e caveats, namely, NITI Aayog 2.0 </w:t>
      </w:r>
      <w:r w:rsidR="002C71C3">
        <w:rPr>
          <w:rFonts w:ascii="Verdana" w:hAnsi="Verdana" w:cs="Times New Roman"/>
        </w:rPr>
        <w:t>re</w:t>
      </w:r>
      <w:r w:rsidR="005E66FE">
        <w:rPr>
          <w:rFonts w:ascii="Verdana" w:hAnsi="Verdana" w:cs="Times New Roman"/>
        </w:rPr>
        <w:t xml:space="preserve">mit </w:t>
      </w:r>
      <w:r w:rsidR="00B139AD">
        <w:rPr>
          <w:rFonts w:ascii="Verdana" w:hAnsi="Verdana" w:cs="Times New Roman"/>
        </w:rPr>
        <w:t xml:space="preserve">cannot be </w:t>
      </w:r>
      <w:r w:rsidR="002C71C3">
        <w:rPr>
          <w:rFonts w:ascii="Verdana" w:hAnsi="Verdana" w:cs="Times New Roman"/>
        </w:rPr>
        <w:t>confined to inter-State disparities</w:t>
      </w:r>
      <w:r w:rsidR="009322AF">
        <w:rPr>
          <w:rFonts w:ascii="Verdana" w:hAnsi="Verdana" w:cs="Times New Roman"/>
        </w:rPr>
        <w:t xml:space="preserve">, but has to encompass </w:t>
      </w:r>
      <w:r w:rsidR="00E6422D">
        <w:rPr>
          <w:rFonts w:ascii="Verdana" w:hAnsi="Verdana" w:cs="Times New Roman"/>
        </w:rPr>
        <w:t>all the</w:t>
      </w:r>
      <w:r w:rsidR="009322AF">
        <w:rPr>
          <w:rFonts w:ascii="Verdana" w:hAnsi="Verdana" w:cs="Times New Roman"/>
        </w:rPr>
        <w:t xml:space="preserve"> developmental aspects</w:t>
      </w:r>
      <w:r w:rsidR="00E6422D">
        <w:rPr>
          <w:rFonts w:ascii="Verdana" w:hAnsi="Verdana" w:cs="Times New Roman"/>
        </w:rPr>
        <w:t xml:space="preserve"> – both Union and States</w:t>
      </w:r>
      <w:r w:rsidR="002C71C3">
        <w:rPr>
          <w:rFonts w:ascii="Verdana" w:hAnsi="Verdana" w:cs="Times New Roman"/>
        </w:rPr>
        <w:t xml:space="preserve">.  Unlike Finance Commission, it is only </w:t>
      </w:r>
      <w:r w:rsidR="003E5F70">
        <w:rPr>
          <w:rFonts w:ascii="Verdana" w:hAnsi="Verdana" w:cs="Times New Roman"/>
        </w:rPr>
        <w:t xml:space="preserve">an </w:t>
      </w:r>
      <w:r w:rsidR="002C71C3">
        <w:rPr>
          <w:rFonts w:ascii="Verdana" w:hAnsi="Verdana" w:cs="Times New Roman"/>
        </w:rPr>
        <w:t>advisory</w:t>
      </w:r>
      <w:r w:rsidR="00296D09">
        <w:rPr>
          <w:rFonts w:ascii="Verdana" w:hAnsi="Verdana" w:cs="Times New Roman"/>
        </w:rPr>
        <w:t xml:space="preserve"> body, and part of Union Government, with tenures of </w:t>
      </w:r>
      <w:proofErr w:type="gramStart"/>
      <w:r w:rsidR="00296D09">
        <w:rPr>
          <w:rFonts w:ascii="Verdana" w:hAnsi="Verdana" w:cs="Times New Roman"/>
        </w:rPr>
        <w:t>members</w:t>
      </w:r>
      <w:proofErr w:type="gramEnd"/>
      <w:r w:rsidR="00296D09">
        <w:rPr>
          <w:rFonts w:ascii="Verdana" w:hAnsi="Verdana" w:cs="Times New Roman"/>
        </w:rPr>
        <w:t xml:space="preserve"> co-terminus with political cycles.  </w:t>
      </w:r>
    </w:p>
    <w:p w:rsidR="008D169B" w:rsidRDefault="00B15A7A" w:rsidP="00D812C5">
      <w:pPr>
        <w:spacing w:before="240" w:after="0" w:line="480" w:lineRule="auto"/>
        <w:jc w:val="both"/>
        <w:rPr>
          <w:rFonts w:ascii="Verdana" w:hAnsi="Verdana" w:cs="Times New Roman"/>
        </w:rPr>
      </w:pPr>
      <w:r>
        <w:rPr>
          <w:rFonts w:ascii="Verdana" w:hAnsi="Verdana" w:cs="Times New Roman"/>
        </w:rPr>
        <w:tab/>
        <w:t xml:space="preserve">Thus, at a conceptual level, the </w:t>
      </w:r>
      <w:r w:rsidR="00183B15">
        <w:rPr>
          <w:rFonts w:ascii="Verdana" w:hAnsi="Verdana" w:cs="Times New Roman"/>
        </w:rPr>
        <w:t>f</w:t>
      </w:r>
      <w:r>
        <w:rPr>
          <w:rFonts w:ascii="Verdana" w:hAnsi="Verdana" w:cs="Times New Roman"/>
        </w:rPr>
        <w:t xml:space="preserve">irst and </w:t>
      </w:r>
      <w:r w:rsidR="00183B15">
        <w:rPr>
          <w:rFonts w:ascii="Verdana" w:hAnsi="Verdana" w:cs="Times New Roman"/>
        </w:rPr>
        <w:t>s</w:t>
      </w:r>
      <w:r>
        <w:rPr>
          <w:rFonts w:ascii="Verdana" w:hAnsi="Verdana" w:cs="Times New Roman"/>
        </w:rPr>
        <w:t xml:space="preserve">econd </w:t>
      </w:r>
      <w:r w:rsidR="00183B15">
        <w:rPr>
          <w:rFonts w:ascii="Verdana" w:hAnsi="Verdana" w:cs="Times New Roman"/>
        </w:rPr>
        <w:t>p</w:t>
      </w:r>
      <w:r>
        <w:rPr>
          <w:rFonts w:ascii="Verdana" w:hAnsi="Verdana" w:cs="Times New Roman"/>
        </w:rPr>
        <w:t>illar</w:t>
      </w:r>
      <w:r w:rsidR="00183B15">
        <w:rPr>
          <w:rFonts w:ascii="Verdana" w:hAnsi="Verdana" w:cs="Times New Roman"/>
        </w:rPr>
        <w:t>s</w:t>
      </w:r>
      <w:r>
        <w:rPr>
          <w:rFonts w:ascii="Verdana" w:hAnsi="Verdana" w:cs="Times New Roman"/>
        </w:rPr>
        <w:t xml:space="preserve"> proposed by Dr. Kelkar are </w:t>
      </w:r>
      <w:r w:rsidR="007B73FA">
        <w:rPr>
          <w:rFonts w:ascii="Verdana" w:hAnsi="Verdana" w:cs="Times New Roman"/>
        </w:rPr>
        <w:t>un</w:t>
      </w:r>
      <w:r>
        <w:rPr>
          <w:rFonts w:ascii="Verdana" w:hAnsi="Verdana" w:cs="Times New Roman"/>
        </w:rPr>
        <w:t xml:space="preserve">exceptionable, and they exist in the current arrangements.  But like the </w:t>
      </w:r>
      <w:r w:rsidR="00183B15">
        <w:rPr>
          <w:rFonts w:ascii="Verdana" w:hAnsi="Verdana" w:cs="Times New Roman"/>
        </w:rPr>
        <w:t>f</w:t>
      </w:r>
      <w:r>
        <w:rPr>
          <w:rFonts w:ascii="Verdana" w:hAnsi="Verdana" w:cs="Times New Roman"/>
        </w:rPr>
        <w:t xml:space="preserve">irst </w:t>
      </w:r>
      <w:r w:rsidR="00183B15">
        <w:rPr>
          <w:rFonts w:ascii="Verdana" w:hAnsi="Verdana" w:cs="Times New Roman"/>
        </w:rPr>
        <w:t>p</w:t>
      </w:r>
      <w:r>
        <w:rPr>
          <w:rFonts w:ascii="Verdana" w:hAnsi="Verdana" w:cs="Times New Roman"/>
        </w:rPr>
        <w:t xml:space="preserve">illar, the </w:t>
      </w:r>
      <w:r w:rsidR="00183B15">
        <w:rPr>
          <w:rFonts w:ascii="Verdana" w:hAnsi="Verdana" w:cs="Times New Roman"/>
        </w:rPr>
        <w:t>s</w:t>
      </w:r>
      <w:r>
        <w:rPr>
          <w:rFonts w:ascii="Verdana" w:hAnsi="Verdana" w:cs="Times New Roman"/>
        </w:rPr>
        <w:t xml:space="preserve">econd </w:t>
      </w:r>
      <w:r w:rsidR="00183B15">
        <w:rPr>
          <w:rFonts w:ascii="Verdana" w:hAnsi="Verdana" w:cs="Times New Roman"/>
        </w:rPr>
        <w:t>p</w:t>
      </w:r>
      <w:r>
        <w:rPr>
          <w:rFonts w:ascii="Verdana" w:hAnsi="Verdana" w:cs="Times New Roman"/>
        </w:rPr>
        <w:t xml:space="preserve">illar has not been performing as it should.  </w:t>
      </w:r>
      <w:r w:rsidR="009322AF">
        <w:rPr>
          <w:rFonts w:ascii="Verdana" w:hAnsi="Verdana" w:cs="Times New Roman"/>
        </w:rPr>
        <w:t xml:space="preserve"> </w:t>
      </w:r>
    </w:p>
    <w:p w:rsidR="00B72A80" w:rsidRDefault="008D169B" w:rsidP="00D812C5">
      <w:pPr>
        <w:spacing w:before="240" w:after="0" w:line="480" w:lineRule="auto"/>
        <w:jc w:val="both"/>
        <w:rPr>
          <w:rFonts w:ascii="Verdana" w:hAnsi="Verdana" w:cs="Times New Roman"/>
        </w:rPr>
      </w:pPr>
      <w:r>
        <w:rPr>
          <w:rFonts w:ascii="Verdana" w:hAnsi="Verdana" w:cs="Times New Roman"/>
        </w:rPr>
        <w:tab/>
        <w:t xml:space="preserve">The empirical evidence so far in regard to flow of funds from multiple channels in the context of development imbalance </w:t>
      </w:r>
      <w:r w:rsidR="00DE2C2B">
        <w:rPr>
          <w:rFonts w:ascii="Verdana" w:hAnsi="Verdana" w:cs="Times New Roman"/>
        </w:rPr>
        <w:t xml:space="preserve">of States </w:t>
      </w:r>
      <w:r w:rsidR="00B72A80">
        <w:rPr>
          <w:rFonts w:ascii="Verdana" w:hAnsi="Verdana" w:cs="Times New Roman"/>
        </w:rPr>
        <w:t xml:space="preserve">shows that the problem lies with Union Government and not the Finance Commissions.  </w:t>
      </w:r>
    </w:p>
    <w:p w:rsidR="00671603" w:rsidRPr="00671603" w:rsidRDefault="00671603" w:rsidP="00D812C5">
      <w:pPr>
        <w:spacing w:before="240" w:after="0" w:line="480" w:lineRule="auto"/>
        <w:jc w:val="both"/>
        <w:rPr>
          <w:rFonts w:ascii="Verdana" w:hAnsi="Verdana" w:cs="Times New Roman"/>
        </w:rPr>
      </w:pPr>
      <w:r>
        <w:rPr>
          <w:rFonts w:ascii="Verdana" w:hAnsi="Verdana" w:cs="Times New Roman"/>
          <w:b/>
          <w:u w:val="single"/>
        </w:rPr>
        <w:t xml:space="preserve">Empirical </w:t>
      </w:r>
      <w:r w:rsidR="007B73FA">
        <w:rPr>
          <w:rFonts w:ascii="Verdana" w:hAnsi="Verdana" w:cs="Times New Roman"/>
          <w:b/>
          <w:u w:val="single"/>
        </w:rPr>
        <w:t>E</w:t>
      </w:r>
      <w:r>
        <w:rPr>
          <w:rFonts w:ascii="Verdana" w:hAnsi="Verdana" w:cs="Times New Roman"/>
          <w:b/>
          <w:u w:val="single"/>
        </w:rPr>
        <w:t xml:space="preserve">vidence of </w:t>
      </w:r>
      <w:r w:rsidR="007B73FA">
        <w:rPr>
          <w:rFonts w:ascii="Verdana" w:hAnsi="Verdana" w:cs="Times New Roman"/>
          <w:b/>
          <w:u w:val="single"/>
        </w:rPr>
        <w:t>F</w:t>
      </w:r>
      <w:r>
        <w:rPr>
          <w:rFonts w:ascii="Verdana" w:hAnsi="Verdana" w:cs="Times New Roman"/>
          <w:b/>
          <w:u w:val="single"/>
        </w:rPr>
        <w:t xml:space="preserve">low of </w:t>
      </w:r>
      <w:r w:rsidR="007B73FA">
        <w:rPr>
          <w:rFonts w:ascii="Verdana" w:hAnsi="Verdana" w:cs="Times New Roman"/>
          <w:b/>
          <w:u w:val="single"/>
        </w:rPr>
        <w:t>F</w:t>
      </w:r>
      <w:r>
        <w:rPr>
          <w:rFonts w:ascii="Verdana" w:hAnsi="Verdana" w:cs="Times New Roman"/>
          <w:b/>
          <w:u w:val="single"/>
        </w:rPr>
        <w:t>unds</w:t>
      </w:r>
      <w:r>
        <w:rPr>
          <w:rFonts w:ascii="Verdana" w:hAnsi="Verdana" w:cs="Times New Roman"/>
        </w:rPr>
        <w:t xml:space="preserve"> </w:t>
      </w:r>
    </w:p>
    <w:p w:rsidR="00D36C9D" w:rsidRPr="004A3B72" w:rsidRDefault="00360F78" w:rsidP="00360F78">
      <w:pPr>
        <w:spacing w:after="0" w:line="480" w:lineRule="auto"/>
        <w:ind w:firstLine="720"/>
        <w:jc w:val="both"/>
        <w:rPr>
          <w:rFonts w:ascii="Verdana" w:hAnsi="Verdana" w:cs="Times New Roman"/>
          <w:b/>
        </w:rPr>
      </w:pPr>
      <w:r w:rsidRPr="004A3B72">
        <w:rPr>
          <w:rFonts w:ascii="Verdana" w:hAnsi="Verdana" w:cs="Palatino-Roman"/>
        </w:rPr>
        <w:lastRenderedPageBreak/>
        <w:t xml:space="preserve">The Finance Commissions have, it can be said, contributed to reduction rather than aggravation of inequalities, though </w:t>
      </w:r>
      <w:r w:rsidR="00BB288E">
        <w:rPr>
          <w:rFonts w:ascii="Verdana" w:hAnsi="Verdana" w:cs="Palatino-Roman"/>
        </w:rPr>
        <w:t>their</w:t>
      </w:r>
      <w:r w:rsidRPr="004A3B72">
        <w:rPr>
          <w:rFonts w:ascii="Verdana" w:hAnsi="Verdana" w:cs="Palatino-Roman"/>
        </w:rPr>
        <w:t xml:space="preserve"> scope for contribution is circumscribed. </w:t>
      </w:r>
      <w:r w:rsidR="00D36C9D" w:rsidRPr="004A3B72">
        <w:rPr>
          <w:rFonts w:ascii="Verdana" w:hAnsi="Verdana" w:cs="Palatino-Roman"/>
        </w:rPr>
        <w:t xml:space="preserve">Empirical evidence points to tax devolution being progressive; or inversely related to the per capita State Gross Domestic Product.  Grants which account for less than twenty per cent of the total transfers recommended by Finance Commissions (except in case of Fourth and Sixth Finance Commissions) were less progressive.  </w:t>
      </w:r>
    </w:p>
    <w:p w:rsidR="00D36C9D" w:rsidRPr="00341014" w:rsidRDefault="00D36C9D" w:rsidP="00D36C9D">
      <w:pPr>
        <w:autoSpaceDE w:val="0"/>
        <w:autoSpaceDN w:val="0"/>
        <w:adjustRightInd w:val="0"/>
        <w:spacing w:before="240" w:after="0" w:line="480" w:lineRule="auto"/>
        <w:ind w:firstLine="720"/>
        <w:jc w:val="both"/>
        <w:rPr>
          <w:rFonts w:ascii="Verdana" w:hAnsi="Verdana"/>
        </w:rPr>
      </w:pPr>
      <w:r w:rsidRPr="00341014">
        <w:rPr>
          <w:rFonts w:ascii="Verdana" w:hAnsi="Verdana"/>
        </w:rPr>
        <w:t xml:space="preserve">Empirical work shows that the per capita plan outlays were invariably higher in respect of richer States in relation to the poorer States. There are two explanations for this, namely, the poorer States were less savvy in political bargaining or they were handicapped in absorption capacity.  </w:t>
      </w:r>
      <w:r w:rsidR="00622CFD" w:rsidRPr="00341014">
        <w:rPr>
          <w:rFonts w:ascii="Verdana" w:hAnsi="Verdana"/>
        </w:rPr>
        <w:t xml:space="preserve">This experience is relevant in considering the proposed </w:t>
      </w:r>
      <w:r w:rsidR="00183B15">
        <w:rPr>
          <w:rFonts w:ascii="Verdana" w:hAnsi="Verdana"/>
        </w:rPr>
        <w:t>s</w:t>
      </w:r>
      <w:r w:rsidR="00622CFD" w:rsidRPr="00341014">
        <w:rPr>
          <w:rFonts w:ascii="Verdana" w:hAnsi="Verdana"/>
        </w:rPr>
        <w:t xml:space="preserve">econd </w:t>
      </w:r>
      <w:r w:rsidR="00183B15">
        <w:rPr>
          <w:rFonts w:ascii="Verdana" w:hAnsi="Verdana"/>
        </w:rPr>
        <w:t>p</w:t>
      </w:r>
      <w:r w:rsidR="00622CFD" w:rsidRPr="00341014">
        <w:rPr>
          <w:rFonts w:ascii="Verdana" w:hAnsi="Verdana"/>
        </w:rPr>
        <w:t xml:space="preserve">illar of Dr. Kelkar.  </w:t>
      </w:r>
    </w:p>
    <w:p w:rsidR="00D36C9D" w:rsidRPr="004A3B72" w:rsidRDefault="00D36C9D" w:rsidP="00D36C9D">
      <w:pPr>
        <w:autoSpaceDE w:val="0"/>
        <w:autoSpaceDN w:val="0"/>
        <w:adjustRightInd w:val="0"/>
        <w:spacing w:before="240" w:after="0" w:line="480" w:lineRule="auto"/>
        <w:ind w:firstLine="720"/>
        <w:jc w:val="both"/>
        <w:rPr>
          <w:rFonts w:ascii="Verdana" w:hAnsi="Verdana"/>
        </w:rPr>
      </w:pPr>
      <w:r w:rsidRPr="004A3B72">
        <w:rPr>
          <w:rFonts w:ascii="Verdana" w:hAnsi="Verdana"/>
        </w:rPr>
        <w:t>Till the eighties with both the Centre and States having surplus on their revenue accounts, borrowings were considered synonymous with capital expenditure. In the beginning of the planned era, allocation of market borrowings largely determined access to debt.</w:t>
      </w:r>
      <w:r w:rsidR="009A3B27" w:rsidRPr="004A3B72">
        <w:rPr>
          <w:rFonts w:ascii="Verdana" w:hAnsi="Verdana"/>
        </w:rPr>
        <w:t xml:space="preserve">  In any case, borrowings are subject to approval of Union Government and more recently the fiscal responsibility Legislation.  </w:t>
      </w:r>
    </w:p>
    <w:p w:rsidR="00D36C9D" w:rsidRPr="004A3B72" w:rsidRDefault="00D36C9D" w:rsidP="00D36C9D">
      <w:pPr>
        <w:pStyle w:val="NoSpacing"/>
        <w:spacing w:before="240" w:after="120" w:line="480" w:lineRule="auto"/>
        <w:ind w:firstLine="720"/>
        <w:jc w:val="both"/>
        <w:rPr>
          <w:rFonts w:ascii="Verdana" w:hAnsi="Verdana"/>
        </w:rPr>
      </w:pPr>
      <w:r w:rsidRPr="004A3B72">
        <w:rPr>
          <w:rFonts w:ascii="Verdana" w:hAnsi="Verdana"/>
        </w:rPr>
        <w:t>While the average per capita outstanding liabilities amounted to Rs.47</w:t>
      </w:r>
      <w:proofErr w:type="gramStart"/>
      <w:r w:rsidRPr="004A3B72">
        <w:rPr>
          <w:rFonts w:ascii="Verdana" w:hAnsi="Verdana"/>
        </w:rPr>
        <w:t>,054</w:t>
      </w:r>
      <w:proofErr w:type="gramEnd"/>
      <w:r w:rsidRPr="004A3B72">
        <w:rPr>
          <w:rFonts w:ascii="Verdana" w:hAnsi="Verdana"/>
        </w:rPr>
        <w:t xml:space="preserve"> in the top five per capita income States during the period 2013-16, the corresponding figure for the bottom five per capita income States was Rs.13,690. To the extent borrowings finance capital expenditure, poorer States are at a disadvantage in raising resources.</w:t>
      </w:r>
    </w:p>
    <w:p w:rsidR="00906DA0" w:rsidRPr="004A3B72" w:rsidRDefault="00906DA0" w:rsidP="00906DA0">
      <w:pPr>
        <w:pStyle w:val="NoSpacing"/>
        <w:spacing w:before="240" w:line="480" w:lineRule="auto"/>
        <w:ind w:firstLine="720"/>
        <w:jc w:val="both"/>
        <w:rPr>
          <w:rFonts w:ascii="Verdana" w:hAnsi="Verdana"/>
        </w:rPr>
      </w:pPr>
      <w:r w:rsidRPr="004A3B72">
        <w:rPr>
          <w:rFonts w:ascii="Verdana" w:hAnsi="Verdana"/>
        </w:rPr>
        <w:lastRenderedPageBreak/>
        <w:t xml:space="preserve">The flow of bank credit seems to favour richer states relative to others for understandable reasons.  </w:t>
      </w:r>
      <w:r w:rsidR="00EC0955" w:rsidRPr="004A3B72">
        <w:rPr>
          <w:rFonts w:ascii="Verdana" w:hAnsi="Verdana"/>
        </w:rPr>
        <w:t>The average outstanding per capita scheduled bank credit during the years 2013-16 amounted to Rs.94</w:t>
      </w:r>
      <w:proofErr w:type="gramStart"/>
      <w:r w:rsidR="00EC0955" w:rsidRPr="004A3B72">
        <w:rPr>
          <w:rFonts w:ascii="Verdana" w:hAnsi="Verdana"/>
        </w:rPr>
        <w:t>,001</w:t>
      </w:r>
      <w:proofErr w:type="gramEnd"/>
      <w:r w:rsidR="00EC0955" w:rsidRPr="004A3B72">
        <w:rPr>
          <w:rFonts w:ascii="Verdana" w:hAnsi="Verdana"/>
        </w:rPr>
        <w:t xml:space="preserve"> in the top five per capita income States as compared with a meager Rs.14,475 in the bottom five per capita income States.  </w:t>
      </w:r>
    </w:p>
    <w:p w:rsidR="00487392" w:rsidRPr="004A3B72" w:rsidRDefault="00906DA0" w:rsidP="00906DA0">
      <w:pPr>
        <w:pStyle w:val="NoSpacing"/>
        <w:spacing w:before="240" w:line="480" w:lineRule="auto"/>
        <w:ind w:firstLine="720"/>
        <w:jc w:val="both"/>
        <w:rPr>
          <w:rFonts w:ascii="Verdana" w:hAnsi="Verdana"/>
        </w:rPr>
      </w:pPr>
      <w:r w:rsidRPr="004A3B72">
        <w:rPr>
          <w:rFonts w:ascii="Verdana" w:hAnsi="Verdana"/>
        </w:rPr>
        <w:t>Studies by National Institute of Public Finance</w:t>
      </w:r>
      <w:r w:rsidR="00BB288E">
        <w:rPr>
          <w:rFonts w:ascii="Verdana" w:hAnsi="Verdana"/>
        </w:rPr>
        <w:t xml:space="preserve"> and Policy</w:t>
      </w:r>
      <w:r w:rsidRPr="004A3B72">
        <w:rPr>
          <w:rFonts w:ascii="Verdana" w:hAnsi="Verdana"/>
        </w:rPr>
        <w:t xml:space="preserve"> have shown that</w:t>
      </w:r>
      <w:r w:rsidR="00EC0955" w:rsidRPr="004A3B72">
        <w:rPr>
          <w:rFonts w:ascii="Verdana" w:hAnsi="Verdana"/>
        </w:rPr>
        <w:t xml:space="preserve"> the tax concessions, subsidies and direct spending by Union Budgets </w:t>
      </w:r>
      <w:r w:rsidR="006131C5" w:rsidRPr="004A3B72">
        <w:rPr>
          <w:rFonts w:ascii="Verdana" w:hAnsi="Verdana"/>
        </w:rPr>
        <w:t>did not favour</w:t>
      </w:r>
      <w:r w:rsidR="00EC0955" w:rsidRPr="004A3B72">
        <w:rPr>
          <w:rFonts w:ascii="Verdana" w:hAnsi="Verdana"/>
        </w:rPr>
        <w:t xml:space="preserve"> the poorer states, relative to others. </w:t>
      </w:r>
    </w:p>
    <w:p w:rsidR="00EC0955" w:rsidRPr="00EC0955" w:rsidRDefault="00487392" w:rsidP="00487392">
      <w:pPr>
        <w:pStyle w:val="NoSpacing"/>
        <w:spacing w:before="240" w:line="480" w:lineRule="auto"/>
        <w:jc w:val="both"/>
        <w:rPr>
          <w:rFonts w:ascii="Verdana" w:hAnsi="Verdana"/>
          <w:i/>
        </w:rPr>
      </w:pPr>
      <w:r>
        <w:rPr>
          <w:rFonts w:ascii="Verdana" w:hAnsi="Verdana"/>
          <w:b/>
          <w:u w:val="single"/>
        </w:rPr>
        <w:t>Third and Fourth Pillars</w:t>
      </w:r>
      <w:r>
        <w:rPr>
          <w:rFonts w:ascii="Verdana" w:hAnsi="Verdana"/>
        </w:rPr>
        <w:t xml:space="preserve"> </w:t>
      </w:r>
      <w:r w:rsidR="00EC0955" w:rsidRPr="00EC0955">
        <w:rPr>
          <w:rFonts w:ascii="Verdana" w:hAnsi="Verdana"/>
          <w:i/>
        </w:rPr>
        <w:t xml:space="preserve"> </w:t>
      </w:r>
    </w:p>
    <w:p w:rsidR="002E3315" w:rsidRPr="00CA55B6" w:rsidRDefault="003127D1" w:rsidP="002E3315">
      <w:pPr>
        <w:spacing w:before="240" w:after="0" w:line="480" w:lineRule="auto"/>
        <w:ind w:firstLine="720"/>
        <w:jc w:val="both"/>
        <w:rPr>
          <w:rFonts w:ascii="Trebuchet MS" w:hAnsi="Trebuchet MS" w:cs="Times New Roman"/>
          <w:sz w:val="24"/>
          <w:szCs w:val="24"/>
        </w:rPr>
      </w:pPr>
      <w:r w:rsidRPr="00CA55B6">
        <w:rPr>
          <w:rFonts w:ascii="Trebuchet MS" w:hAnsi="Trebuchet MS" w:cs="Times New Roman"/>
          <w:sz w:val="24"/>
          <w:szCs w:val="24"/>
        </w:rPr>
        <w:t xml:space="preserve">The third pillar relates to </w:t>
      </w:r>
      <w:r w:rsidR="00183B15">
        <w:rPr>
          <w:rFonts w:ascii="Trebuchet MS" w:hAnsi="Trebuchet MS" w:cs="Times New Roman"/>
          <w:sz w:val="24"/>
          <w:szCs w:val="24"/>
        </w:rPr>
        <w:t xml:space="preserve">the </w:t>
      </w:r>
      <w:r w:rsidRPr="00CA55B6">
        <w:rPr>
          <w:rFonts w:ascii="Trebuchet MS" w:hAnsi="Trebuchet MS" w:cs="Times New Roman"/>
          <w:sz w:val="24"/>
          <w:szCs w:val="24"/>
        </w:rPr>
        <w:t>strengthening of the fiscal base of the third tier for effective democratic decentralisation through sharing of the GST.  The issue of third tier of Government in the Constitution requires a detailed consideration</w:t>
      </w:r>
      <w:r w:rsidR="00EC0BF3" w:rsidRPr="00CA55B6">
        <w:rPr>
          <w:rFonts w:ascii="Trebuchet MS" w:hAnsi="Trebuchet MS" w:cs="Times New Roman"/>
          <w:sz w:val="24"/>
          <w:szCs w:val="24"/>
        </w:rPr>
        <w:t xml:space="preserve">. </w:t>
      </w:r>
      <w:r w:rsidR="002E3315" w:rsidRPr="00CA55B6">
        <w:rPr>
          <w:rFonts w:ascii="Trebuchet MS" w:hAnsi="Trebuchet MS" w:cs="Times New Roman"/>
          <w:sz w:val="24"/>
          <w:szCs w:val="24"/>
        </w:rPr>
        <w:t>Since centrality of State governments in deciding the process of decentralisation continues even after th</w:t>
      </w:r>
      <w:r w:rsidR="009B40BF">
        <w:rPr>
          <w:rFonts w:ascii="Trebuchet MS" w:hAnsi="Trebuchet MS" w:cs="Times New Roman"/>
          <w:sz w:val="24"/>
          <w:szCs w:val="24"/>
        </w:rPr>
        <w:t>e 73rd and 74th Constitutional a</w:t>
      </w:r>
      <w:r w:rsidR="002E3315" w:rsidRPr="00CA55B6">
        <w:rPr>
          <w:rFonts w:ascii="Trebuchet MS" w:hAnsi="Trebuchet MS" w:cs="Times New Roman"/>
          <w:sz w:val="24"/>
          <w:szCs w:val="24"/>
        </w:rPr>
        <w:t>mendment</w:t>
      </w:r>
      <w:r w:rsidR="00183B15">
        <w:rPr>
          <w:rFonts w:ascii="Trebuchet MS" w:hAnsi="Trebuchet MS" w:cs="Times New Roman"/>
          <w:sz w:val="24"/>
          <w:szCs w:val="24"/>
        </w:rPr>
        <w:t>s</w:t>
      </w:r>
      <w:r w:rsidR="002E3315" w:rsidRPr="00CA55B6">
        <w:rPr>
          <w:rFonts w:ascii="Trebuchet MS" w:hAnsi="Trebuchet MS" w:cs="Times New Roman"/>
          <w:sz w:val="24"/>
          <w:szCs w:val="24"/>
        </w:rPr>
        <w:t xml:space="preserve">, </w:t>
      </w:r>
      <w:r w:rsidR="00183B15">
        <w:rPr>
          <w:rFonts w:ascii="Trebuchet MS" w:hAnsi="Trebuchet MS" w:cs="Times New Roman"/>
          <w:sz w:val="24"/>
          <w:szCs w:val="24"/>
        </w:rPr>
        <w:t>c</w:t>
      </w:r>
      <w:r w:rsidR="002E3315" w:rsidRPr="00CA55B6">
        <w:rPr>
          <w:rFonts w:ascii="Trebuchet MS" w:hAnsi="Trebuchet MS" w:cs="Times New Roman"/>
          <w:sz w:val="24"/>
          <w:szCs w:val="24"/>
        </w:rPr>
        <w:t>hange</w:t>
      </w:r>
      <w:r w:rsidR="00183B15">
        <w:rPr>
          <w:rFonts w:ascii="Trebuchet MS" w:hAnsi="Trebuchet MS" w:cs="Times New Roman"/>
          <w:sz w:val="24"/>
          <w:szCs w:val="24"/>
        </w:rPr>
        <w:t>s</w:t>
      </w:r>
      <w:r w:rsidR="002E3315" w:rsidRPr="00CA55B6">
        <w:rPr>
          <w:rFonts w:ascii="Trebuchet MS" w:hAnsi="Trebuchet MS" w:cs="Times New Roman"/>
          <w:sz w:val="24"/>
          <w:szCs w:val="24"/>
        </w:rPr>
        <w:t xml:space="preserve"> or s</w:t>
      </w:r>
      <w:r w:rsidR="005E0B8C">
        <w:rPr>
          <w:rFonts w:ascii="Trebuchet MS" w:hAnsi="Trebuchet MS" w:cs="Times New Roman"/>
          <w:sz w:val="24"/>
          <w:szCs w:val="24"/>
        </w:rPr>
        <w:t xml:space="preserve">uggestions for reforms need to </w:t>
      </w:r>
      <w:r w:rsidR="002E3315" w:rsidRPr="00CA55B6">
        <w:rPr>
          <w:rFonts w:ascii="Trebuchet MS" w:hAnsi="Trebuchet MS" w:cs="Times New Roman"/>
          <w:sz w:val="24"/>
          <w:szCs w:val="24"/>
        </w:rPr>
        <w:t xml:space="preserve">remain sensitive to this aspect. </w:t>
      </w:r>
    </w:p>
    <w:p w:rsidR="00261B73" w:rsidRDefault="003127D1" w:rsidP="00BB1DB2">
      <w:pPr>
        <w:pStyle w:val="NoSpacing"/>
        <w:spacing w:before="240" w:after="120" w:line="480" w:lineRule="auto"/>
        <w:jc w:val="both"/>
        <w:rPr>
          <w:rFonts w:ascii="Verdana" w:hAnsi="Verdana" w:cs="Times New Roman"/>
          <w:lang w:val="en-IN"/>
        </w:rPr>
      </w:pPr>
      <w:r>
        <w:rPr>
          <w:rFonts w:ascii="Verdana" w:hAnsi="Verdana" w:cs="Times New Roman"/>
          <w:lang w:val="en-IN"/>
        </w:rPr>
        <w:tab/>
      </w:r>
      <w:r w:rsidR="008C4C32">
        <w:rPr>
          <w:rFonts w:ascii="Verdana" w:hAnsi="Verdana" w:cs="Times New Roman"/>
          <w:lang w:val="en-IN"/>
        </w:rPr>
        <w:t xml:space="preserve">The fourth pillar of </w:t>
      </w:r>
      <w:r w:rsidR="00F132EE">
        <w:rPr>
          <w:rFonts w:ascii="Verdana" w:hAnsi="Verdana" w:cs="Times New Roman"/>
          <w:lang w:val="en-IN"/>
        </w:rPr>
        <w:t xml:space="preserve">new </w:t>
      </w:r>
      <w:r w:rsidR="008C4C32">
        <w:rPr>
          <w:rFonts w:ascii="Verdana" w:hAnsi="Verdana" w:cs="Times New Roman"/>
          <w:lang w:val="en-IN"/>
        </w:rPr>
        <w:t xml:space="preserve">fiscal federalism relates to the GST arrangements, which is considered to be a weak pillar requiring more reforms.  </w:t>
      </w:r>
      <w:r w:rsidR="00F132EE">
        <w:rPr>
          <w:rFonts w:ascii="Verdana" w:hAnsi="Verdana" w:cs="Times New Roman"/>
          <w:lang w:val="en-IN"/>
        </w:rPr>
        <w:t>These include inclusion of more pro</w:t>
      </w:r>
      <w:r w:rsidR="00542A9A">
        <w:rPr>
          <w:rFonts w:ascii="Verdana" w:hAnsi="Verdana" w:cs="Times New Roman"/>
          <w:lang w:val="en-IN"/>
        </w:rPr>
        <w:t>d</w:t>
      </w:r>
      <w:r w:rsidR="00F132EE">
        <w:rPr>
          <w:rFonts w:ascii="Verdana" w:hAnsi="Verdana" w:cs="Times New Roman"/>
          <w:lang w:val="en-IN"/>
        </w:rPr>
        <w:t>ucts in GST</w:t>
      </w:r>
      <w:r w:rsidR="00DB6641">
        <w:rPr>
          <w:rFonts w:ascii="Verdana" w:hAnsi="Verdana" w:cs="Times New Roman"/>
          <w:lang w:val="en-IN"/>
        </w:rPr>
        <w:t xml:space="preserve"> (some argue that if petroleum products were included in the GST basket, the average rate will have to go up and not come down),</w:t>
      </w:r>
      <w:r w:rsidR="00F132EE">
        <w:rPr>
          <w:rFonts w:ascii="Verdana" w:hAnsi="Verdana" w:cs="Times New Roman"/>
          <w:lang w:val="en-IN"/>
        </w:rPr>
        <w:t xml:space="preserve"> putting exports at zero rate, bringing real estate into the ambit, reforming </w:t>
      </w:r>
      <w:proofErr w:type="spellStart"/>
      <w:r w:rsidR="00F132EE">
        <w:rPr>
          <w:rFonts w:ascii="Verdana" w:hAnsi="Verdana" w:cs="Times New Roman"/>
          <w:lang w:val="en-IN"/>
        </w:rPr>
        <w:t>IGST</w:t>
      </w:r>
      <w:proofErr w:type="spellEnd"/>
      <w:r w:rsidR="00F132EE">
        <w:rPr>
          <w:rFonts w:ascii="Verdana" w:hAnsi="Verdana" w:cs="Times New Roman"/>
          <w:lang w:val="en-IN"/>
        </w:rPr>
        <w:t>, strengtheni</w:t>
      </w:r>
      <w:r w:rsidR="005C1B2A">
        <w:rPr>
          <w:rFonts w:ascii="Verdana" w:hAnsi="Verdana" w:cs="Times New Roman"/>
          <w:lang w:val="en-IN"/>
        </w:rPr>
        <w:t xml:space="preserve">ng of secretariat.  </w:t>
      </w:r>
    </w:p>
    <w:p w:rsidR="00F132EE" w:rsidRDefault="00F132EE" w:rsidP="00BB1DB2">
      <w:pPr>
        <w:pStyle w:val="NoSpacing"/>
        <w:spacing w:before="240" w:after="120" w:line="480" w:lineRule="auto"/>
        <w:jc w:val="both"/>
        <w:rPr>
          <w:rFonts w:ascii="Verdana" w:hAnsi="Verdana" w:cs="Times New Roman"/>
          <w:lang w:val="en-IN"/>
        </w:rPr>
      </w:pPr>
      <w:r>
        <w:rPr>
          <w:rFonts w:ascii="Verdana" w:hAnsi="Verdana" w:cs="Times New Roman"/>
          <w:lang w:val="en-IN"/>
        </w:rPr>
        <w:lastRenderedPageBreak/>
        <w:tab/>
        <w:t xml:space="preserve">Dr. Kelkar has succeeded in his objective; in his words: "I have also suggested innovative reform proposals towards creating Four Pillars-based architecture for India's new Fiscal Federalism.  While the final resolution of these matters will be attained through a dialectic that will play out in the domain of </w:t>
      </w:r>
      <w:proofErr w:type="spellStart"/>
      <w:r>
        <w:rPr>
          <w:rFonts w:ascii="Verdana" w:hAnsi="Verdana" w:cs="Times New Roman"/>
          <w:lang w:val="en-IN"/>
        </w:rPr>
        <w:t>realpolitik</w:t>
      </w:r>
      <w:proofErr w:type="spellEnd"/>
      <w:r>
        <w:rPr>
          <w:rFonts w:ascii="Verdana" w:hAnsi="Verdana" w:cs="Times New Roman"/>
          <w:lang w:val="en-IN"/>
        </w:rPr>
        <w:t>, it is important that such a process be helped along by evid</w:t>
      </w:r>
      <w:r w:rsidR="009B40BF">
        <w:rPr>
          <w:rFonts w:ascii="Verdana" w:hAnsi="Verdana" w:cs="Times New Roman"/>
          <w:lang w:val="en-IN"/>
        </w:rPr>
        <w:t>ence based analysis and debate".</w:t>
      </w:r>
      <w:r>
        <w:rPr>
          <w:rFonts w:ascii="Verdana" w:hAnsi="Verdana" w:cs="Times New Roman"/>
          <w:lang w:val="en-IN"/>
        </w:rPr>
        <w:t xml:space="preserve"> </w:t>
      </w:r>
    </w:p>
    <w:p w:rsidR="00183B15" w:rsidRDefault="00183B15" w:rsidP="00BB1DB2">
      <w:pPr>
        <w:pStyle w:val="NoSpacing"/>
        <w:spacing w:before="240" w:after="120" w:line="480" w:lineRule="auto"/>
        <w:jc w:val="both"/>
        <w:rPr>
          <w:rFonts w:ascii="Verdana" w:hAnsi="Verdana" w:cs="Times New Roman"/>
          <w:b/>
          <w:u w:val="single"/>
          <w:lang w:val="en-IN"/>
        </w:rPr>
      </w:pPr>
    </w:p>
    <w:p w:rsidR="00183B15" w:rsidRDefault="00183B15" w:rsidP="00BB1DB2">
      <w:pPr>
        <w:pStyle w:val="NoSpacing"/>
        <w:spacing w:before="240" w:after="120" w:line="480" w:lineRule="auto"/>
        <w:jc w:val="both"/>
        <w:rPr>
          <w:rFonts w:ascii="Verdana" w:hAnsi="Verdana" w:cs="Times New Roman"/>
          <w:b/>
          <w:u w:val="single"/>
          <w:lang w:val="en-IN"/>
        </w:rPr>
      </w:pPr>
    </w:p>
    <w:p w:rsidR="001E40E7" w:rsidRDefault="0086632E" w:rsidP="00BB1DB2">
      <w:pPr>
        <w:pStyle w:val="NoSpacing"/>
        <w:spacing w:before="240" w:after="120" w:line="480" w:lineRule="auto"/>
        <w:jc w:val="both"/>
        <w:rPr>
          <w:rFonts w:ascii="Verdana" w:hAnsi="Verdana" w:cs="Times New Roman"/>
          <w:lang w:val="en-IN"/>
        </w:rPr>
      </w:pPr>
      <w:r>
        <w:rPr>
          <w:rFonts w:ascii="Verdana" w:hAnsi="Verdana" w:cs="Times New Roman"/>
          <w:b/>
          <w:u w:val="single"/>
          <w:lang w:val="en-IN"/>
        </w:rPr>
        <w:t>Common Memorandum</w:t>
      </w:r>
      <w:r>
        <w:rPr>
          <w:rFonts w:ascii="Verdana" w:hAnsi="Verdana" w:cs="Times New Roman"/>
          <w:lang w:val="en-IN"/>
        </w:rPr>
        <w:t xml:space="preserve"> </w:t>
      </w:r>
    </w:p>
    <w:p w:rsidR="001E26C6" w:rsidRPr="001E26C6" w:rsidRDefault="001E26C6" w:rsidP="00B90D37">
      <w:pPr>
        <w:spacing w:line="480" w:lineRule="auto"/>
        <w:ind w:firstLine="720"/>
        <w:jc w:val="both"/>
        <w:rPr>
          <w:rFonts w:ascii="Verdana" w:hAnsi="Verdana"/>
        </w:rPr>
      </w:pPr>
      <w:r w:rsidRPr="001E26C6">
        <w:rPr>
          <w:rFonts w:ascii="Verdana" w:hAnsi="Verdana"/>
        </w:rPr>
        <w:t xml:space="preserve">The Finance Ministers of Andhra Pradesh, Kerala, West Bengal, Punjab, Delhi and </w:t>
      </w:r>
      <w:proofErr w:type="spellStart"/>
      <w:r w:rsidRPr="001E26C6">
        <w:rPr>
          <w:rFonts w:ascii="Verdana" w:hAnsi="Verdana"/>
        </w:rPr>
        <w:t>Puducherry</w:t>
      </w:r>
      <w:proofErr w:type="spellEnd"/>
      <w:r w:rsidRPr="001E26C6">
        <w:rPr>
          <w:rFonts w:ascii="Verdana" w:hAnsi="Verdana"/>
        </w:rPr>
        <w:t xml:space="preserve"> held a conclave on fiscal federalism and submitted a common memorandum to the President of India on May 17, 2018 expressing their concerns and seeking changes in the Terms of Reference (ToR) of the Fifteenth Finance Commission. </w:t>
      </w:r>
    </w:p>
    <w:p w:rsidR="001E26C6" w:rsidRPr="001E26C6" w:rsidRDefault="001E26C6" w:rsidP="00B90D37">
      <w:pPr>
        <w:spacing w:line="480" w:lineRule="auto"/>
        <w:ind w:firstLine="720"/>
        <w:jc w:val="both"/>
        <w:rPr>
          <w:rFonts w:ascii="Verdana" w:hAnsi="Verdana"/>
        </w:rPr>
      </w:pPr>
      <w:r w:rsidRPr="001E26C6">
        <w:rPr>
          <w:rFonts w:ascii="Verdana" w:hAnsi="Verdana"/>
        </w:rPr>
        <w:t xml:space="preserve">The conclave discussed issues relating to asymmetries in Indian federal system and how the </w:t>
      </w:r>
      <w:r w:rsidR="000923C5">
        <w:rPr>
          <w:rFonts w:ascii="Verdana" w:hAnsi="Verdana"/>
        </w:rPr>
        <w:t>ToR</w:t>
      </w:r>
      <w:r w:rsidRPr="001E26C6">
        <w:rPr>
          <w:rFonts w:ascii="Verdana" w:hAnsi="Verdana"/>
        </w:rPr>
        <w:t xml:space="preserve"> of the Fifteenth Finance Commission go far beyond the Constitutional mandate and impose the ideological and economic agenda of the Union on States. The Finance Ministers have contended that it is not for the Finance Commission to impose its perception of what policies are good for States. </w:t>
      </w:r>
    </w:p>
    <w:p w:rsidR="001E26C6" w:rsidRPr="001E26C6" w:rsidRDefault="001E26C6" w:rsidP="00B90D37">
      <w:pPr>
        <w:autoSpaceDE w:val="0"/>
        <w:autoSpaceDN w:val="0"/>
        <w:adjustRightInd w:val="0"/>
        <w:spacing w:after="0" w:line="480" w:lineRule="auto"/>
        <w:ind w:firstLine="720"/>
        <w:jc w:val="both"/>
        <w:rPr>
          <w:rFonts w:ascii="Verdana" w:hAnsi="Verdana" w:cs="BerlingLTStd-Roman"/>
        </w:rPr>
      </w:pPr>
      <w:r w:rsidRPr="001E26C6">
        <w:rPr>
          <w:rFonts w:ascii="Verdana" w:hAnsi="Verdana"/>
        </w:rPr>
        <w:t xml:space="preserve">The common memorandum submitted to the President of India sought deletion of certain ToR from the Order constituting the Commission. The memorandum sought deletion of items in the ToR relating to </w:t>
      </w:r>
      <w:proofErr w:type="spellStart"/>
      <w:r w:rsidRPr="001E26C6">
        <w:rPr>
          <w:rFonts w:ascii="Verdana" w:hAnsi="Verdana"/>
        </w:rPr>
        <w:t>i</w:t>
      </w:r>
      <w:proofErr w:type="spellEnd"/>
      <w:r w:rsidRPr="001E26C6">
        <w:rPr>
          <w:rFonts w:ascii="Verdana" w:hAnsi="Verdana"/>
        </w:rPr>
        <w:t xml:space="preserve">) whether revenue </w:t>
      </w:r>
      <w:r w:rsidRPr="001E26C6">
        <w:rPr>
          <w:rFonts w:ascii="Verdana" w:hAnsi="Verdana"/>
        </w:rPr>
        <w:lastRenderedPageBreak/>
        <w:t xml:space="preserve">deficit grants be provided to States at all, ii) </w:t>
      </w:r>
      <w:r w:rsidRPr="001E26C6">
        <w:rPr>
          <w:rFonts w:ascii="Verdana" w:hAnsi="Verdana" w:cs="Verdana"/>
        </w:rPr>
        <w:t xml:space="preserve">taking into account the impact on the fiscal situation of the Union Government of substantially enhanced tax devolution to States following the recommendations of the </w:t>
      </w:r>
      <w:r w:rsidR="003C3101">
        <w:rPr>
          <w:rFonts w:ascii="Verdana" w:hAnsi="Verdana" w:cs="Verdana"/>
        </w:rPr>
        <w:t>XIV</w:t>
      </w:r>
      <w:r w:rsidRPr="001E26C6">
        <w:rPr>
          <w:rFonts w:ascii="Verdana" w:hAnsi="Verdana" w:cs="Verdana"/>
        </w:rPr>
        <w:t xml:space="preserve"> Finance Commission, coupled with the continuing imperative of the national development programme including New India-2022, iii) impact of the GST, iv) </w:t>
      </w:r>
      <w:r w:rsidRPr="001E26C6">
        <w:rPr>
          <w:rFonts w:ascii="Verdana" w:hAnsi="Verdana" w:cs="BerlingLTStd-Roman"/>
        </w:rPr>
        <w:t xml:space="preserve">reference to the examination of  the conditions that the GoI may impose on the States while providing consent to States to borrow under Article 293 (3) of the Constitution, v) incentives to </w:t>
      </w:r>
      <w:r w:rsidR="00BB3186">
        <w:rPr>
          <w:rFonts w:ascii="Verdana" w:hAnsi="Verdana" w:cs="BerlingLTStd-Roman"/>
        </w:rPr>
        <w:t>S</w:t>
      </w:r>
      <w:r w:rsidRPr="001E26C6">
        <w:rPr>
          <w:rFonts w:ascii="Verdana" w:hAnsi="Verdana" w:cs="BerlingLTStd-Roman"/>
        </w:rPr>
        <w:t xml:space="preserve">tates for providing grants to local bodies for basic services and vi) control or lack of it in incurring expenditure on populist measures. </w:t>
      </w:r>
    </w:p>
    <w:p w:rsidR="001E26C6" w:rsidRPr="001E26C6" w:rsidRDefault="001E26C6" w:rsidP="00542A9A">
      <w:pPr>
        <w:autoSpaceDE w:val="0"/>
        <w:autoSpaceDN w:val="0"/>
        <w:adjustRightInd w:val="0"/>
        <w:spacing w:before="240" w:after="0" w:line="480" w:lineRule="auto"/>
        <w:ind w:firstLine="720"/>
        <w:jc w:val="both"/>
        <w:rPr>
          <w:rFonts w:ascii="Verdana" w:hAnsi="Verdana" w:cs="BerlingLTStd-Roman"/>
        </w:rPr>
      </w:pPr>
      <w:r w:rsidRPr="001E26C6">
        <w:rPr>
          <w:rFonts w:ascii="Verdana" w:hAnsi="Verdana" w:cs="BerlingLTStd-Roman"/>
        </w:rPr>
        <w:t xml:space="preserve">More particularly, the </w:t>
      </w:r>
      <w:r w:rsidR="00542A9A">
        <w:rPr>
          <w:rFonts w:ascii="Verdana" w:hAnsi="Verdana" w:cs="BerlingLTStd-Roman"/>
        </w:rPr>
        <w:t xml:space="preserve">select </w:t>
      </w:r>
      <w:r w:rsidRPr="001E26C6">
        <w:rPr>
          <w:rFonts w:ascii="Verdana" w:hAnsi="Verdana" w:cs="BerlingLTStd-Roman"/>
        </w:rPr>
        <w:t xml:space="preserve">Finance Ministers have expressed their concern over the explicit mandate given to the Commission to use 2011 population while making its recommendations. The Conclave expressed concerns that this ToR has opened the larger issue of what might happen in the next delimitation. It has been felt that by shifting to 2011 </w:t>
      </w:r>
      <w:proofErr w:type="gramStart"/>
      <w:r w:rsidRPr="001E26C6">
        <w:rPr>
          <w:rFonts w:ascii="Verdana" w:hAnsi="Verdana" w:cs="BerlingLTStd-Roman"/>
        </w:rPr>
        <w:t>population,</w:t>
      </w:r>
      <w:proofErr w:type="gramEnd"/>
      <w:r w:rsidRPr="001E26C6">
        <w:rPr>
          <w:rFonts w:ascii="Verdana" w:hAnsi="Verdana" w:cs="BerlingLTStd-Roman"/>
        </w:rPr>
        <w:t xml:space="preserve"> too much weightage is given to equity.  The Finance Ministers sought replacement of 2011 population by 1971 population in the ToR.</w:t>
      </w:r>
    </w:p>
    <w:p w:rsidR="001E26C6" w:rsidRPr="001E26C6" w:rsidRDefault="001E26C6" w:rsidP="00C514B4">
      <w:pPr>
        <w:autoSpaceDE w:val="0"/>
        <w:autoSpaceDN w:val="0"/>
        <w:adjustRightInd w:val="0"/>
        <w:spacing w:before="240" w:after="0" w:line="480" w:lineRule="auto"/>
        <w:ind w:firstLine="720"/>
        <w:jc w:val="both"/>
        <w:rPr>
          <w:rFonts w:ascii="Verdana" w:hAnsi="Verdana" w:cs="BerlingLTStd-Roman"/>
        </w:rPr>
      </w:pPr>
      <w:r w:rsidRPr="001E26C6">
        <w:rPr>
          <w:rFonts w:ascii="Verdana" w:hAnsi="Verdana" w:cs="BerlingLTStd-Roman"/>
        </w:rPr>
        <w:t xml:space="preserve">Many of the items sought for deletion are in the nature of considerations and the Commission is not strictly bound by them. When the ToR of the Ninth Commission stipulated </w:t>
      </w:r>
      <w:r w:rsidR="00D46BDC">
        <w:rPr>
          <w:rFonts w:ascii="Verdana" w:hAnsi="Verdana" w:cs="BerlingLTStd-Roman"/>
        </w:rPr>
        <w:t xml:space="preserve">the </w:t>
      </w:r>
      <w:r w:rsidRPr="001E26C6">
        <w:rPr>
          <w:rFonts w:ascii="Verdana" w:hAnsi="Verdana" w:cs="BerlingLTStd-Roman"/>
        </w:rPr>
        <w:t>adoption of normative approach, the Commission Chairman assured the Chief Ministers in a letter that the approach would be uniform and equitable both to the Centre and the States. Similarly, when the Thirteenth Commission was asked to take into account the projected gross budgetary support (</w:t>
      </w:r>
      <w:proofErr w:type="spellStart"/>
      <w:r w:rsidRPr="001E26C6">
        <w:rPr>
          <w:rFonts w:ascii="Verdana" w:hAnsi="Verdana" w:cs="BerlingLTStd-Roman"/>
        </w:rPr>
        <w:t>GBS</w:t>
      </w:r>
      <w:proofErr w:type="spellEnd"/>
      <w:r w:rsidRPr="001E26C6">
        <w:rPr>
          <w:rFonts w:ascii="Verdana" w:hAnsi="Verdana" w:cs="BerlingLTStd-Roman"/>
        </w:rPr>
        <w:t xml:space="preserve">) to the Central and State Plans while making its recommendations, the </w:t>
      </w:r>
      <w:r w:rsidRPr="001E26C6">
        <w:rPr>
          <w:rFonts w:ascii="Verdana" w:hAnsi="Verdana" w:cs="BerlingLTStd-Roman"/>
        </w:rPr>
        <w:lastRenderedPageBreak/>
        <w:t xml:space="preserve">Commission took the stand that taking </w:t>
      </w:r>
      <w:proofErr w:type="spellStart"/>
      <w:r w:rsidRPr="001E26C6">
        <w:rPr>
          <w:rFonts w:ascii="Verdana" w:hAnsi="Verdana" w:cs="BerlingLTStd-Roman"/>
        </w:rPr>
        <w:t>GBS</w:t>
      </w:r>
      <w:proofErr w:type="spellEnd"/>
      <w:r w:rsidRPr="001E26C6">
        <w:rPr>
          <w:rFonts w:ascii="Verdana" w:hAnsi="Verdana" w:cs="BerlingLTStd-Roman"/>
        </w:rPr>
        <w:t xml:space="preserve"> upfront as a demand on the Centre’s resources would reverse the then current practice of arriving at the </w:t>
      </w:r>
      <w:proofErr w:type="spellStart"/>
      <w:r w:rsidRPr="001E26C6">
        <w:rPr>
          <w:rFonts w:ascii="Verdana" w:hAnsi="Verdana" w:cs="BerlingLTStd-Roman"/>
        </w:rPr>
        <w:t>GBS</w:t>
      </w:r>
      <w:proofErr w:type="spellEnd"/>
      <w:r w:rsidRPr="001E26C6">
        <w:rPr>
          <w:rFonts w:ascii="Verdana" w:hAnsi="Verdana" w:cs="BerlingLTStd-Roman"/>
        </w:rPr>
        <w:t xml:space="preserve"> residually.</w:t>
      </w:r>
    </w:p>
    <w:p w:rsidR="001E26C6" w:rsidRDefault="001E26C6" w:rsidP="00C514B4">
      <w:pPr>
        <w:autoSpaceDE w:val="0"/>
        <w:autoSpaceDN w:val="0"/>
        <w:adjustRightInd w:val="0"/>
        <w:spacing w:before="240" w:after="0" w:line="480" w:lineRule="auto"/>
        <w:ind w:firstLine="720"/>
        <w:jc w:val="both"/>
        <w:rPr>
          <w:rFonts w:ascii="Verdana" w:hAnsi="Verdana" w:cs="BerlingLTStd-Roman"/>
        </w:rPr>
      </w:pPr>
      <w:r w:rsidRPr="001E26C6">
        <w:rPr>
          <w:rFonts w:ascii="Verdana" w:hAnsi="Verdana" w:cs="BerlingLTStd-Roman"/>
        </w:rPr>
        <w:t xml:space="preserve">Though some of the ToR </w:t>
      </w:r>
      <w:proofErr w:type="gramStart"/>
      <w:r w:rsidRPr="001E26C6">
        <w:rPr>
          <w:rFonts w:ascii="Verdana" w:hAnsi="Verdana" w:cs="BerlingLTStd-Roman"/>
        </w:rPr>
        <w:t>are</w:t>
      </w:r>
      <w:proofErr w:type="gramEnd"/>
      <w:r w:rsidRPr="001E26C6">
        <w:rPr>
          <w:rFonts w:ascii="Verdana" w:hAnsi="Verdana" w:cs="BerlingLTStd-Roman"/>
        </w:rPr>
        <w:t xml:space="preserve"> in the nature of goading the </w:t>
      </w:r>
      <w:r w:rsidR="002A4E6A">
        <w:rPr>
          <w:rFonts w:ascii="Verdana" w:hAnsi="Verdana" w:cs="BerlingLTStd-Roman"/>
        </w:rPr>
        <w:t xml:space="preserve">Commission </w:t>
      </w:r>
      <w:r w:rsidRPr="001E26C6">
        <w:rPr>
          <w:rFonts w:ascii="Verdana" w:hAnsi="Verdana" w:cs="BerlingLTStd-Roman"/>
        </w:rPr>
        <w:t xml:space="preserve">to act in ways inimical to the interests and autonomy of States, it is hoped that the Fifteenth Finance Commission would be guided by the spirit of the Constitution in discharging its responsibilities and upholding the sanctity of the institution. The Commission may not have such freedom insofar as the use of 2011 population is concerned. Even here, the weight assigned to population can be tweaked suitably to minimize the adverse impact on some States. </w:t>
      </w:r>
    </w:p>
    <w:p w:rsidR="00817969" w:rsidRDefault="00390239" w:rsidP="00C514B4">
      <w:pPr>
        <w:autoSpaceDE w:val="0"/>
        <w:autoSpaceDN w:val="0"/>
        <w:adjustRightInd w:val="0"/>
        <w:spacing w:before="240" w:after="0" w:line="480" w:lineRule="auto"/>
        <w:ind w:firstLine="720"/>
        <w:jc w:val="both"/>
        <w:rPr>
          <w:rFonts w:ascii="Verdana" w:hAnsi="Verdana" w:cs="BerlingLTStd-Roman"/>
        </w:rPr>
      </w:pPr>
      <w:r>
        <w:rPr>
          <w:rFonts w:ascii="Verdana" w:hAnsi="Verdana" w:cs="BerlingLTStd-Roman"/>
        </w:rPr>
        <w:t>On balance, t</w:t>
      </w:r>
      <w:r w:rsidR="00C870D3">
        <w:rPr>
          <w:rFonts w:ascii="Verdana" w:hAnsi="Verdana" w:cs="BerlingLTStd-Roman"/>
        </w:rPr>
        <w:t xml:space="preserve">he issue goes beyond the memorandum.  For the first time a Finance Commission is disadvantaged in terms of </w:t>
      </w:r>
      <w:r w:rsidR="00D46BDC">
        <w:rPr>
          <w:rFonts w:ascii="Verdana" w:hAnsi="Verdana" w:cs="BerlingLTStd-Roman"/>
        </w:rPr>
        <w:t xml:space="preserve">the </w:t>
      </w:r>
      <w:r w:rsidR="00C870D3">
        <w:rPr>
          <w:rFonts w:ascii="Verdana" w:hAnsi="Verdana" w:cs="BerlingLTStd-Roman"/>
        </w:rPr>
        <w:t>trust of some of the affected parties.  It is also not clear whether there were adequate consultations by the Union with States before finalising the term</w:t>
      </w:r>
      <w:r w:rsidR="00BB288E">
        <w:rPr>
          <w:rFonts w:ascii="Verdana" w:hAnsi="Verdana" w:cs="BerlingLTStd-Roman"/>
        </w:rPr>
        <w:t>s</w:t>
      </w:r>
      <w:r w:rsidR="00C870D3">
        <w:rPr>
          <w:rFonts w:ascii="Verdana" w:hAnsi="Verdana" w:cs="BerlingLTStd-Roman"/>
        </w:rPr>
        <w:t xml:space="preserve"> of reference, if not the composition.  These developments have led to </w:t>
      </w:r>
      <w:r w:rsidR="00183B15">
        <w:rPr>
          <w:rFonts w:ascii="Verdana" w:hAnsi="Verdana" w:cs="BerlingLTStd-Roman"/>
        </w:rPr>
        <w:t xml:space="preserve">the </w:t>
      </w:r>
      <w:r w:rsidR="00C870D3">
        <w:rPr>
          <w:rFonts w:ascii="Verdana" w:hAnsi="Verdana" w:cs="BerlingLTStd-Roman"/>
        </w:rPr>
        <w:t xml:space="preserve">suggestion to abolish the institution of </w:t>
      </w:r>
      <w:r w:rsidR="00183B15">
        <w:rPr>
          <w:rFonts w:ascii="Verdana" w:hAnsi="Verdana" w:cs="BerlingLTStd-Roman"/>
        </w:rPr>
        <w:t xml:space="preserve">the </w:t>
      </w:r>
      <w:r w:rsidR="00C870D3">
        <w:rPr>
          <w:rFonts w:ascii="Verdana" w:hAnsi="Verdana" w:cs="BerlingLTStd-Roman"/>
        </w:rPr>
        <w:t xml:space="preserve">Finance Commission.  </w:t>
      </w:r>
    </w:p>
    <w:p w:rsidR="006E7F7D" w:rsidRPr="006E7F7D" w:rsidRDefault="006E7F7D" w:rsidP="006E7F7D">
      <w:pPr>
        <w:autoSpaceDE w:val="0"/>
        <w:autoSpaceDN w:val="0"/>
        <w:adjustRightInd w:val="0"/>
        <w:spacing w:before="240" w:after="0" w:line="480" w:lineRule="auto"/>
        <w:jc w:val="both"/>
        <w:rPr>
          <w:rFonts w:ascii="Verdana" w:hAnsi="Verdana" w:cs="BerlingLTStd-Roman"/>
        </w:rPr>
      </w:pPr>
      <w:r>
        <w:rPr>
          <w:rFonts w:ascii="Verdana" w:hAnsi="Verdana" w:cs="BerlingLTStd-Roman"/>
          <w:b/>
          <w:u w:val="single"/>
        </w:rPr>
        <w:t>Ending the Finance Commission</w:t>
      </w:r>
      <w:r w:rsidR="00771067">
        <w:rPr>
          <w:rFonts w:ascii="Verdana" w:hAnsi="Verdana" w:cs="BerlingLTStd-Roman"/>
          <w:b/>
          <w:u w:val="single"/>
        </w:rPr>
        <w:t>s</w:t>
      </w:r>
      <w:r>
        <w:rPr>
          <w:rFonts w:ascii="Verdana" w:hAnsi="Verdana" w:cs="BerlingLTStd-Roman"/>
          <w:b/>
          <w:u w:val="single"/>
        </w:rPr>
        <w:t xml:space="preserve"> </w:t>
      </w:r>
    </w:p>
    <w:p w:rsidR="00DB0E29" w:rsidRPr="000E4908" w:rsidRDefault="00DB0E29" w:rsidP="007D30B6">
      <w:pPr>
        <w:spacing w:line="480" w:lineRule="auto"/>
        <w:ind w:firstLine="720"/>
        <w:jc w:val="both"/>
        <w:rPr>
          <w:rFonts w:ascii="Verdana" w:hAnsi="Verdana"/>
        </w:rPr>
      </w:pPr>
      <w:r w:rsidRPr="000E4908">
        <w:rPr>
          <w:rFonts w:ascii="Verdana" w:hAnsi="Verdana"/>
        </w:rPr>
        <w:t>Dr</w:t>
      </w:r>
      <w:r w:rsidR="00D46BDC">
        <w:rPr>
          <w:rFonts w:ascii="Verdana" w:hAnsi="Verdana"/>
        </w:rPr>
        <w:t>.</w:t>
      </w:r>
      <w:r w:rsidRPr="000E4908">
        <w:rPr>
          <w:rFonts w:ascii="Verdana" w:hAnsi="Verdana"/>
        </w:rPr>
        <w:t xml:space="preserve"> C. Rangarajan in a recent </w:t>
      </w:r>
      <w:r w:rsidR="00B76500">
        <w:rPr>
          <w:rFonts w:ascii="Verdana" w:hAnsi="Verdana"/>
        </w:rPr>
        <w:t xml:space="preserve">talk </w:t>
      </w:r>
      <w:r w:rsidRPr="000E4908">
        <w:rPr>
          <w:rFonts w:ascii="Verdana" w:hAnsi="Verdana"/>
        </w:rPr>
        <w:t>at</w:t>
      </w:r>
      <w:r>
        <w:rPr>
          <w:rFonts w:ascii="Verdana" w:hAnsi="Verdana"/>
        </w:rPr>
        <w:t xml:space="preserve"> the Madras School of Economics (March 8, 2019) has suggested amendments to the Constitution</w:t>
      </w:r>
      <w:r w:rsidRPr="000E4908">
        <w:rPr>
          <w:rFonts w:ascii="Verdana" w:hAnsi="Verdana"/>
        </w:rPr>
        <w:t xml:space="preserve"> </w:t>
      </w:r>
      <w:proofErr w:type="spellStart"/>
      <w:r>
        <w:rPr>
          <w:rFonts w:ascii="Verdana" w:hAnsi="Verdana"/>
        </w:rPr>
        <w:t>i</w:t>
      </w:r>
      <w:proofErr w:type="spellEnd"/>
      <w:r>
        <w:rPr>
          <w:rFonts w:ascii="Verdana" w:hAnsi="Verdana"/>
        </w:rPr>
        <w:t xml:space="preserve">) fixing the respective shares of the Centre and the States in vertical distribution of divisible pool of taxes including cesses and surcharges in the Constitution itself, thereby doing away with the appointment of the Finance Commission at an interval of every five years or earlier, ii) entrusting the collection of GST to a single agency and iii) enabling States to levy income tax in parallel with the Centre. </w:t>
      </w:r>
    </w:p>
    <w:p w:rsidR="00DB0E29" w:rsidRDefault="00DB0E29" w:rsidP="003B78FC">
      <w:pPr>
        <w:spacing w:line="480" w:lineRule="auto"/>
        <w:ind w:firstLine="720"/>
        <w:jc w:val="both"/>
        <w:rPr>
          <w:rFonts w:ascii="Verdana" w:hAnsi="Verdana"/>
        </w:rPr>
      </w:pPr>
      <w:r>
        <w:rPr>
          <w:rFonts w:ascii="Verdana" w:hAnsi="Verdana"/>
        </w:rPr>
        <w:lastRenderedPageBreak/>
        <w:t>Fixing the respective shares of the Centre in the divisible pool of Central taxes</w:t>
      </w:r>
      <w:r w:rsidRPr="00FE4C81">
        <w:rPr>
          <w:rFonts w:ascii="Verdana" w:hAnsi="Verdana"/>
        </w:rPr>
        <w:t xml:space="preserve"> can make the vertical sharing of taxes predictable and general revenue division </w:t>
      </w:r>
      <w:r>
        <w:rPr>
          <w:rFonts w:ascii="Verdana" w:hAnsi="Verdana"/>
        </w:rPr>
        <w:t xml:space="preserve">between two levels of governments </w:t>
      </w:r>
      <w:r w:rsidR="00E91477">
        <w:rPr>
          <w:rFonts w:ascii="Verdana" w:hAnsi="Verdana"/>
        </w:rPr>
        <w:t xml:space="preserve">a </w:t>
      </w:r>
      <w:proofErr w:type="gramStart"/>
      <w:r w:rsidR="00E91477">
        <w:rPr>
          <w:rFonts w:ascii="Verdana" w:hAnsi="Verdana"/>
        </w:rPr>
        <w:t>C</w:t>
      </w:r>
      <w:r w:rsidRPr="00FE4C81">
        <w:rPr>
          <w:rFonts w:ascii="Verdana" w:hAnsi="Verdana"/>
        </w:rPr>
        <w:t>onstitutionally</w:t>
      </w:r>
      <w:proofErr w:type="gramEnd"/>
      <w:r w:rsidRPr="00FE4C81">
        <w:rPr>
          <w:rFonts w:ascii="Verdana" w:hAnsi="Verdana"/>
        </w:rPr>
        <w:t xml:space="preserve"> determined one on a permanent basis. </w:t>
      </w:r>
      <w:r>
        <w:rPr>
          <w:rFonts w:ascii="Verdana" w:hAnsi="Verdana"/>
        </w:rPr>
        <w:t xml:space="preserve"> There is considerable merit in this proposal.  The scope for change in the sharing between Centre a</w:t>
      </w:r>
      <w:r w:rsidR="00415135">
        <w:rPr>
          <w:rFonts w:ascii="Verdana" w:hAnsi="Verdana"/>
        </w:rPr>
        <w:t>nd State has shrunk.  Uncertain</w:t>
      </w:r>
      <w:r>
        <w:rPr>
          <w:rFonts w:ascii="Verdana" w:hAnsi="Verdana"/>
        </w:rPr>
        <w:t xml:space="preserve">ty can be removed by such an amendment.  Time and effort can be saved.  Freezing it at current level will be least controversial. </w:t>
      </w:r>
      <w:r w:rsidR="00415135">
        <w:rPr>
          <w:rFonts w:ascii="Verdana" w:hAnsi="Verdana"/>
        </w:rPr>
        <w:t xml:space="preserve"> </w:t>
      </w:r>
      <w:r>
        <w:rPr>
          <w:rFonts w:ascii="Verdana" w:hAnsi="Verdana"/>
        </w:rPr>
        <w:t xml:space="preserve"> </w:t>
      </w:r>
      <w:r w:rsidR="00415135">
        <w:rPr>
          <w:rFonts w:ascii="Verdana" w:hAnsi="Verdana"/>
        </w:rPr>
        <w:t xml:space="preserve">However, its desirability needs to be explored further, as will be explained later.  </w:t>
      </w:r>
    </w:p>
    <w:p w:rsidR="00462FC1" w:rsidRDefault="004476CC" w:rsidP="005B2EEA">
      <w:pPr>
        <w:spacing w:line="480" w:lineRule="auto"/>
        <w:ind w:firstLine="720"/>
        <w:jc w:val="both"/>
        <w:rPr>
          <w:rFonts w:ascii="Verdana" w:hAnsi="Verdana"/>
        </w:rPr>
      </w:pPr>
      <w:r>
        <w:rPr>
          <w:rFonts w:ascii="Verdana" w:hAnsi="Verdana"/>
        </w:rPr>
        <w:t>While t</w:t>
      </w:r>
      <w:r w:rsidR="00E91477">
        <w:rPr>
          <w:rFonts w:ascii="Verdana" w:hAnsi="Verdana"/>
        </w:rPr>
        <w:t xml:space="preserve">he vertical share can be fixed </w:t>
      </w:r>
      <w:proofErr w:type="gramStart"/>
      <w:r w:rsidR="00E91477">
        <w:rPr>
          <w:rFonts w:ascii="Verdana" w:hAnsi="Verdana"/>
        </w:rPr>
        <w:t>C</w:t>
      </w:r>
      <w:r>
        <w:rPr>
          <w:rFonts w:ascii="Verdana" w:hAnsi="Verdana"/>
        </w:rPr>
        <w:t>onstitutionally</w:t>
      </w:r>
      <w:proofErr w:type="gramEnd"/>
      <w:r>
        <w:rPr>
          <w:rFonts w:ascii="Verdana" w:hAnsi="Verdana"/>
        </w:rPr>
        <w:t xml:space="preserve">, there is need to have flexibility in regard to horizontal sharing.  </w:t>
      </w:r>
      <w:r w:rsidRPr="00B607FB">
        <w:rPr>
          <w:rFonts w:ascii="Verdana" w:hAnsi="Verdana"/>
        </w:rPr>
        <w:t>Firstly, f</w:t>
      </w:r>
      <w:r w:rsidR="00DB0E29" w:rsidRPr="00B607FB">
        <w:rPr>
          <w:rFonts w:ascii="Verdana" w:hAnsi="Verdana"/>
        </w:rPr>
        <w:t>ixing the horizontal share in the Constitution would result in a rigid structure of resource distribution across States and cannot be changed without an amendment to the Constitution.</w:t>
      </w:r>
      <w:r w:rsidR="005B2EEA">
        <w:rPr>
          <w:rFonts w:ascii="Verdana" w:hAnsi="Verdana"/>
        </w:rPr>
        <w:t xml:space="preserve">  </w:t>
      </w:r>
      <w:r w:rsidR="00DB0E29" w:rsidRPr="00B607FB">
        <w:rPr>
          <w:rFonts w:ascii="Verdana" w:hAnsi="Verdana"/>
        </w:rPr>
        <w:t>Secondly, fiscal capacity differential across States is a dynamic one and horizontal devolution formula needs to recast itself periodically to reflect these change</w:t>
      </w:r>
      <w:r w:rsidR="00E91477">
        <w:rPr>
          <w:rFonts w:ascii="Verdana" w:hAnsi="Verdana"/>
        </w:rPr>
        <w:t>s</w:t>
      </w:r>
      <w:r w:rsidR="00DB0E29" w:rsidRPr="00B607FB">
        <w:rPr>
          <w:rFonts w:ascii="Verdana" w:hAnsi="Verdana"/>
        </w:rPr>
        <w:t>. This can only be done by the Finance Commission</w:t>
      </w:r>
      <w:r w:rsidRPr="00B607FB">
        <w:rPr>
          <w:rFonts w:ascii="Verdana" w:hAnsi="Verdana"/>
        </w:rPr>
        <w:t xml:space="preserve"> or a similarly constituted body</w:t>
      </w:r>
      <w:r w:rsidR="00DB0E29" w:rsidRPr="00B607FB">
        <w:rPr>
          <w:rFonts w:ascii="Verdana" w:hAnsi="Verdana"/>
        </w:rPr>
        <w:t xml:space="preserve">.  Thirdly, no horizontal devolution formula will be able to address the needs of all the States on revenue account. Grants-in-aid are meant precisely to take care of the inherent inadequacies of formula based solutions. Tax devolution cannot be made large or progressive enough to ensure that no State has a post-devolution revenue deficit. </w:t>
      </w:r>
      <w:r w:rsidRPr="00B607FB">
        <w:rPr>
          <w:rFonts w:ascii="Verdana" w:hAnsi="Verdana"/>
        </w:rPr>
        <w:t xml:space="preserve">An </w:t>
      </w:r>
      <w:r w:rsidR="00DB0E29" w:rsidRPr="00B607FB">
        <w:rPr>
          <w:rFonts w:ascii="Verdana" w:hAnsi="Verdana"/>
        </w:rPr>
        <w:t xml:space="preserve">agency </w:t>
      </w:r>
      <w:r w:rsidRPr="00B607FB">
        <w:rPr>
          <w:rFonts w:ascii="Verdana" w:hAnsi="Verdana"/>
        </w:rPr>
        <w:t xml:space="preserve">similar to Finance Commission will be needed to </w:t>
      </w:r>
      <w:r w:rsidR="00DB0E29" w:rsidRPr="00B607FB">
        <w:rPr>
          <w:rFonts w:ascii="Verdana" w:hAnsi="Verdana"/>
        </w:rPr>
        <w:t>assess the post-devolution revenue deficits on a normative basis. Discretion will creep in, if such a function is left to the Union.</w:t>
      </w:r>
    </w:p>
    <w:p w:rsidR="00C16DBD" w:rsidRDefault="00C16DBD" w:rsidP="005B2EEA">
      <w:pPr>
        <w:spacing w:line="480" w:lineRule="auto"/>
        <w:ind w:firstLine="720"/>
        <w:jc w:val="both"/>
        <w:rPr>
          <w:rFonts w:ascii="Verdana" w:hAnsi="Verdana"/>
        </w:rPr>
      </w:pPr>
      <w:r>
        <w:rPr>
          <w:rFonts w:ascii="Verdana" w:hAnsi="Verdana"/>
        </w:rPr>
        <w:t xml:space="preserve">It is possible </w:t>
      </w:r>
      <w:r w:rsidR="008C6621">
        <w:rPr>
          <w:rFonts w:ascii="Verdana" w:hAnsi="Verdana"/>
        </w:rPr>
        <w:t>t</w:t>
      </w:r>
      <w:r>
        <w:rPr>
          <w:rFonts w:ascii="Verdana" w:hAnsi="Verdana"/>
        </w:rPr>
        <w:t xml:space="preserve">o argue that if a Commission is inevitable for horizontal balance, why </w:t>
      </w:r>
      <w:proofErr w:type="gramStart"/>
      <w:r>
        <w:rPr>
          <w:rFonts w:ascii="Verdana" w:hAnsi="Verdana"/>
        </w:rPr>
        <w:t>should the flexibility in vertical balance</w:t>
      </w:r>
      <w:proofErr w:type="gramEnd"/>
      <w:r>
        <w:rPr>
          <w:rFonts w:ascii="Verdana" w:hAnsi="Verdana"/>
        </w:rPr>
        <w:t xml:space="preserve"> be given up.  More important, </w:t>
      </w:r>
      <w:r>
        <w:rPr>
          <w:rFonts w:ascii="Verdana" w:hAnsi="Verdana"/>
        </w:rPr>
        <w:lastRenderedPageBreak/>
        <w:t xml:space="preserve">there may be merit in taking an integrated view of vertical and horizontal balance, to meet changing circumstances.  </w:t>
      </w:r>
    </w:p>
    <w:p w:rsidR="00DB0E29" w:rsidRDefault="00DB0E29" w:rsidP="003B78FC">
      <w:pPr>
        <w:spacing w:line="480" w:lineRule="auto"/>
        <w:ind w:firstLine="720"/>
        <w:jc w:val="both"/>
        <w:rPr>
          <w:rFonts w:ascii="Verdana" w:hAnsi="Verdana"/>
        </w:rPr>
      </w:pPr>
      <w:r>
        <w:rPr>
          <w:rFonts w:ascii="Verdana" w:hAnsi="Verdana"/>
        </w:rPr>
        <w:t xml:space="preserve">The second issue raised by Dr. Rangarajan is entrusting the collection of GST to a single agency, i.e., the Centre. Though such an arrangement will simplify tax collection, it has the adverse impact of further skewing the vertical imbalances. The Centre presently collects 65 per cent of the combined revenue receipts. Entrusting the collection of GST entirely to the Centre will be counter to cooperative federalism. In the interests of tax harmonization, States have extended their unstinted support to the Union in the introduction of GST.  While GST has subsumed around 31 per cent of the gross tax revenue of the Centre, it has subsumed even larger proportion of States’ tax revenue of around 50 per cent. The only major source of tax revenue to the States, namely, VAT has been subsumed under GST. Even after Union excise duties and services tax are subsumed under GST, the Centre is still left with buoyant sources of revenue like income tax, corporation tax and duties on customs. </w:t>
      </w:r>
    </w:p>
    <w:p w:rsidR="0086632E" w:rsidRDefault="00DB0E29" w:rsidP="003B78FC">
      <w:pPr>
        <w:spacing w:line="480" w:lineRule="auto"/>
        <w:ind w:firstLine="720"/>
        <w:jc w:val="both"/>
        <w:rPr>
          <w:rFonts w:ascii="Verdana" w:hAnsi="Verdana"/>
        </w:rPr>
      </w:pPr>
      <w:r>
        <w:rPr>
          <w:rFonts w:ascii="Verdana" w:hAnsi="Verdana"/>
        </w:rPr>
        <w:t>The third issue relates to empowering States to collect income tax parallel with the Centre. C</w:t>
      </w:r>
      <w:r w:rsidR="00245C75">
        <w:rPr>
          <w:rFonts w:ascii="Verdana" w:hAnsi="Verdana"/>
        </w:rPr>
        <w:t xml:space="preserve">urrently, income tax collected </w:t>
      </w:r>
      <w:r>
        <w:rPr>
          <w:rFonts w:ascii="Verdana" w:hAnsi="Verdana"/>
        </w:rPr>
        <w:t xml:space="preserve">by the Centre is part of the divisible pool. The question is whether income tax </w:t>
      </w:r>
      <w:r w:rsidR="004476CC">
        <w:rPr>
          <w:rFonts w:ascii="Verdana" w:hAnsi="Verdana"/>
        </w:rPr>
        <w:t xml:space="preserve">could </w:t>
      </w:r>
      <w:r>
        <w:rPr>
          <w:rFonts w:ascii="Verdana" w:hAnsi="Verdana"/>
        </w:rPr>
        <w:t xml:space="preserve">form part of the divisible pool once the States start </w:t>
      </w:r>
      <w:r w:rsidR="00227387">
        <w:rPr>
          <w:rFonts w:ascii="Verdana" w:hAnsi="Verdana"/>
        </w:rPr>
        <w:t xml:space="preserve">levying </w:t>
      </w:r>
      <w:r>
        <w:rPr>
          <w:rFonts w:ascii="Verdana" w:hAnsi="Verdana"/>
        </w:rPr>
        <w:t>it along with the Centre.</w:t>
      </w:r>
    </w:p>
    <w:p w:rsidR="00795DF5" w:rsidRPr="00795DF5" w:rsidRDefault="00795DF5" w:rsidP="003B66AE">
      <w:pPr>
        <w:spacing w:before="240" w:line="480" w:lineRule="auto"/>
        <w:rPr>
          <w:rFonts w:ascii="Verdana" w:hAnsi="Verdana"/>
          <w:b/>
          <w:u w:val="single"/>
        </w:rPr>
      </w:pPr>
      <w:r w:rsidRPr="00795DF5">
        <w:rPr>
          <w:rFonts w:ascii="Verdana" w:hAnsi="Verdana"/>
          <w:b/>
          <w:u w:val="single"/>
        </w:rPr>
        <w:t xml:space="preserve">Redesigning Fiscal Transfer System </w:t>
      </w:r>
      <w:proofErr w:type="gramStart"/>
      <w:r w:rsidRPr="00795DF5">
        <w:rPr>
          <w:rFonts w:ascii="Verdana" w:hAnsi="Verdana"/>
          <w:b/>
          <w:u w:val="single"/>
        </w:rPr>
        <w:t>In</w:t>
      </w:r>
      <w:proofErr w:type="gramEnd"/>
      <w:r w:rsidRPr="00795DF5">
        <w:rPr>
          <w:rFonts w:ascii="Verdana" w:hAnsi="Verdana"/>
          <w:b/>
          <w:u w:val="single"/>
        </w:rPr>
        <w:t xml:space="preserve"> India</w:t>
      </w:r>
    </w:p>
    <w:p w:rsidR="00795DF5" w:rsidRPr="00795DF5" w:rsidRDefault="00795DF5" w:rsidP="00795DF5">
      <w:pPr>
        <w:spacing w:line="480" w:lineRule="auto"/>
        <w:ind w:firstLine="720"/>
        <w:jc w:val="both"/>
        <w:rPr>
          <w:rFonts w:ascii="Verdana" w:hAnsi="Verdana"/>
        </w:rPr>
      </w:pPr>
      <w:r w:rsidRPr="00795DF5">
        <w:rPr>
          <w:rFonts w:ascii="Verdana" w:hAnsi="Verdana"/>
        </w:rPr>
        <w:t>Dr. M. Govinda Rao in a recent paper</w:t>
      </w:r>
      <w:r w:rsidR="000E5582">
        <w:rPr>
          <w:rFonts w:ascii="Verdana" w:hAnsi="Verdana"/>
        </w:rPr>
        <w:t xml:space="preserve"> (</w:t>
      </w:r>
      <w:r w:rsidR="00D46BDC">
        <w:rPr>
          <w:rFonts w:ascii="Verdana" w:hAnsi="Verdana"/>
        </w:rPr>
        <w:t>2019</w:t>
      </w:r>
      <w:r w:rsidR="005E14EA">
        <w:rPr>
          <w:rFonts w:ascii="Verdana" w:hAnsi="Verdana"/>
        </w:rPr>
        <w:t>)</w:t>
      </w:r>
      <w:r w:rsidRPr="00795DF5">
        <w:rPr>
          <w:rFonts w:ascii="Verdana" w:hAnsi="Verdana"/>
        </w:rPr>
        <w:t xml:space="preserve"> highlighted the rationale for intergovernmental transfers and the need for redesigning them in the context of the </w:t>
      </w:r>
      <w:r w:rsidRPr="00795DF5">
        <w:rPr>
          <w:rFonts w:ascii="Verdana" w:hAnsi="Verdana"/>
        </w:rPr>
        <w:lastRenderedPageBreak/>
        <w:t xml:space="preserve">evolving changes in Indian fiscal federalism. </w:t>
      </w:r>
      <w:r w:rsidR="00227308">
        <w:rPr>
          <w:rFonts w:ascii="Verdana" w:hAnsi="Verdana"/>
        </w:rPr>
        <w:t xml:space="preserve"> In many ways, the core of the fiscal federalism is inter-governmental transfers.  </w:t>
      </w:r>
    </w:p>
    <w:p w:rsidR="000E5582" w:rsidRDefault="00706FC7" w:rsidP="00795DF5">
      <w:pPr>
        <w:spacing w:line="480" w:lineRule="auto"/>
        <w:ind w:firstLine="720"/>
        <w:jc w:val="both"/>
        <w:rPr>
          <w:rFonts w:ascii="Verdana" w:hAnsi="Verdana"/>
        </w:rPr>
      </w:pPr>
      <w:r>
        <w:rPr>
          <w:rFonts w:ascii="Verdana" w:hAnsi="Verdana"/>
        </w:rPr>
        <w:t>Dr. Rao observes</w:t>
      </w:r>
      <w:r w:rsidR="00795DF5" w:rsidRPr="00795DF5">
        <w:rPr>
          <w:rFonts w:ascii="Verdana" w:hAnsi="Verdana"/>
        </w:rPr>
        <w:t xml:space="preserve"> that following the recommendations of the </w:t>
      </w:r>
      <w:r w:rsidR="003C3101">
        <w:rPr>
          <w:rFonts w:ascii="Verdana" w:hAnsi="Verdana"/>
        </w:rPr>
        <w:t>XIV</w:t>
      </w:r>
      <w:r w:rsidR="00795DF5" w:rsidRPr="00795DF5">
        <w:rPr>
          <w:rFonts w:ascii="Verdana" w:hAnsi="Verdana"/>
        </w:rPr>
        <w:t xml:space="preserve"> Finance Commission, a clear distinction has emerged between general purpose and specific purpose transfers. All the general purpose transfers are now recommended by the Finance Commission and the special purpose transfers by the Central Ministries. While there was no change in the total transfers to the States in 2015-16, the first year of the award period of </w:t>
      </w:r>
      <w:r w:rsidR="003C3101">
        <w:rPr>
          <w:rFonts w:ascii="Verdana" w:hAnsi="Verdana"/>
        </w:rPr>
        <w:t>XIV</w:t>
      </w:r>
      <w:r w:rsidR="00795DF5" w:rsidRPr="00795DF5">
        <w:rPr>
          <w:rFonts w:ascii="Verdana" w:hAnsi="Verdana"/>
        </w:rPr>
        <w:t xml:space="preserve"> over 2014-15, the share of general purpose transfers rose significantly from 55.5 per cent to 71 per cent. </w:t>
      </w:r>
    </w:p>
    <w:p w:rsidR="00311D10" w:rsidRDefault="000E5582" w:rsidP="00795DF5">
      <w:pPr>
        <w:spacing w:line="480" w:lineRule="auto"/>
        <w:ind w:firstLine="720"/>
        <w:jc w:val="both"/>
        <w:rPr>
          <w:rFonts w:ascii="Verdana" w:hAnsi="Verdana"/>
        </w:rPr>
      </w:pPr>
      <w:r>
        <w:rPr>
          <w:rFonts w:ascii="Verdana" w:hAnsi="Verdana"/>
        </w:rPr>
        <w:t xml:space="preserve">Dr. Rao recalled Dr. </w:t>
      </w:r>
      <w:proofErr w:type="spellStart"/>
      <w:r w:rsidR="00795DF5" w:rsidRPr="00795DF5">
        <w:rPr>
          <w:rFonts w:ascii="Verdana" w:hAnsi="Verdana"/>
        </w:rPr>
        <w:t>Kelkar</w:t>
      </w:r>
      <w:r>
        <w:rPr>
          <w:rFonts w:ascii="Verdana" w:hAnsi="Verdana"/>
        </w:rPr>
        <w:t>'s</w:t>
      </w:r>
      <w:proofErr w:type="spellEnd"/>
      <w:r>
        <w:rPr>
          <w:rFonts w:ascii="Verdana" w:hAnsi="Verdana"/>
        </w:rPr>
        <w:t xml:space="preserve"> suggestion</w:t>
      </w:r>
      <w:r w:rsidR="00795DF5" w:rsidRPr="00795DF5">
        <w:rPr>
          <w:rFonts w:ascii="Verdana" w:hAnsi="Verdana"/>
        </w:rPr>
        <w:t xml:space="preserve"> that Finance Commission and erstwhile Planning Commission had different objectives; the former allocating resources for the provision of basic services and the latter allocating resources to create physical and social infrastructure. </w:t>
      </w:r>
      <w:r w:rsidR="00781874">
        <w:rPr>
          <w:rFonts w:ascii="Verdana" w:hAnsi="Verdana"/>
        </w:rPr>
        <w:t xml:space="preserve">Dr. Kelkar </w:t>
      </w:r>
      <w:r>
        <w:rPr>
          <w:rFonts w:ascii="Verdana" w:hAnsi="Verdana"/>
        </w:rPr>
        <w:t xml:space="preserve">had also </w:t>
      </w:r>
      <w:r w:rsidR="00795DF5" w:rsidRPr="00795DF5">
        <w:rPr>
          <w:rFonts w:ascii="Verdana" w:hAnsi="Verdana"/>
        </w:rPr>
        <w:t>suggested that NITI Aayog should be given adequate resources for allocation to States to ensure balanced regional development by mitigating infrastructure differences i</w:t>
      </w:r>
      <w:r w:rsidR="00781874">
        <w:rPr>
          <w:rFonts w:ascii="Verdana" w:hAnsi="Verdana"/>
        </w:rPr>
        <w:t xml:space="preserve">n low income States. </w:t>
      </w:r>
    </w:p>
    <w:p w:rsidR="00795DF5" w:rsidRPr="00795DF5" w:rsidRDefault="00781874" w:rsidP="00795DF5">
      <w:pPr>
        <w:spacing w:line="480" w:lineRule="auto"/>
        <w:ind w:firstLine="720"/>
        <w:jc w:val="both"/>
        <w:rPr>
          <w:rFonts w:ascii="Verdana" w:hAnsi="Verdana"/>
        </w:rPr>
      </w:pPr>
      <w:r>
        <w:rPr>
          <w:rFonts w:ascii="Verdana" w:hAnsi="Verdana"/>
        </w:rPr>
        <w:t>Dr. Rao</w:t>
      </w:r>
      <w:r w:rsidR="00795DF5" w:rsidRPr="00795DF5">
        <w:rPr>
          <w:rFonts w:ascii="Verdana" w:hAnsi="Verdana"/>
        </w:rPr>
        <w:t xml:space="preserve"> expressed </w:t>
      </w:r>
      <w:r w:rsidR="00311D10">
        <w:rPr>
          <w:rFonts w:ascii="Verdana" w:hAnsi="Verdana"/>
        </w:rPr>
        <w:t xml:space="preserve">his </w:t>
      </w:r>
      <w:r w:rsidR="00795DF5" w:rsidRPr="00795DF5">
        <w:rPr>
          <w:rFonts w:ascii="Verdana" w:hAnsi="Verdana"/>
        </w:rPr>
        <w:t xml:space="preserve">reservations about this argument mainly on the ground that creation of infrastructure and its equitable spread requires capital expenditure and that this should be addressed through borrowings and not through current transfers. The other reservations expressed by Rao relate to conditional transfers by Central Ministries not being given for capital creation and the plan transfers not being related to infrastructure deficiencies. </w:t>
      </w:r>
    </w:p>
    <w:p w:rsidR="00795DF5" w:rsidRPr="00795DF5" w:rsidRDefault="00795DF5" w:rsidP="00795DF5">
      <w:pPr>
        <w:spacing w:line="480" w:lineRule="auto"/>
        <w:ind w:firstLine="720"/>
        <w:jc w:val="both"/>
        <w:rPr>
          <w:rFonts w:ascii="Verdana" w:hAnsi="Verdana"/>
        </w:rPr>
      </w:pPr>
      <w:r w:rsidRPr="00795DF5">
        <w:rPr>
          <w:rFonts w:ascii="Verdana" w:hAnsi="Verdana"/>
        </w:rPr>
        <w:lastRenderedPageBreak/>
        <w:t>Dr. Rao observed that given the large variations in fiscal disabilities in Indian States, it becomes difficult to design general purpose transfers to fully offset the revenue and cost disabilities. Thus, specific purpose transfers are necessary. But the specific purpose transfers in India suffer from a number of infirmities. They are not as equalizing as the general purpose transfers recommended by the Finance Commissions</w:t>
      </w:r>
      <w:r w:rsidR="00183B15">
        <w:rPr>
          <w:rFonts w:ascii="Verdana" w:hAnsi="Verdana"/>
        </w:rPr>
        <w:t xml:space="preserve"> are</w:t>
      </w:r>
      <w:r w:rsidRPr="00795DF5">
        <w:rPr>
          <w:rFonts w:ascii="Verdana" w:hAnsi="Verdana"/>
        </w:rPr>
        <w:t xml:space="preserve">. Further, they are </w:t>
      </w:r>
      <w:proofErr w:type="spellStart"/>
      <w:r w:rsidRPr="00795DF5">
        <w:rPr>
          <w:rFonts w:ascii="Verdana" w:hAnsi="Verdana"/>
        </w:rPr>
        <w:t>i</w:t>
      </w:r>
      <w:proofErr w:type="spellEnd"/>
      <w:r w:rsidRPr="00795DF5">
        <w:rPr>
          <w:rFonts w:ascii="Verdana" w:hAnsi="Verdana"/>
        </w:rPr>
        <w:t xml:space="preserve">) not linked to service outcomes, ii) there are too many schemes resulting in the spread of resources too thinly, iii) releases falling short of allocations, iv) States burdened with matching contributions and v) lack of flexibility to States in the implementation of schemes. </w:t>
      </w:r>
    </w:p>
    <w:p w:rsidR="00795DF5" w:rsidRDefault="00795DF5" w:rsidP="00795DF5">
      <w:pPr>
        <w:spacing w:line="480" w:lineRule="auto"/>
        <w:ind w:firstLine="720"/>
        <w:jc w:val="both"/>
        <w:rPr>
          <w:rFonts w:ascii="Verdana" w:hAnsi="Verdana"/>
        </w:rPr>
      </w:pPr>
      <w:r w:rsidRPr="00795DF5">
        <w:rPr>
          <w:rFonts w:ascii="Verdana" w:hAnsi="Verdana"/>
        </w:rPr>
        <w:t xml:space="preserve">He has suggested rationalization of CSS, funding them adequately to make a difference to the service levels and linking the schemes to shortfall in specified services so that overall objective of achieving minimum standards is achieved. He made out a case for having differential matching requirements with a State’s contribution increasing as the shortfall in services reduces. </w:t>
      </w:r>
    </w:p>
    <w:p w:rsidR="00FC5CC7" w:rsidRDefault="00FC5CC7" w:rsidP="00795DF5">
      <w:pPr>
        <w:spacing w:line="480" w:lineRule="auto"/>
        <w:ind w:firstLine="720"/>
        <w:jc w:val="both"/>
        <w:rPr>
          <w:rFonts w:ascii="Verdana" w:hAnsi="Verdana"/>
        </w:rPr>
      </w:pPr>
      <w:r>
        <w:rPr>
          <w:rFonts w:ascii="Verdana" w:hAnsi="Verdana"/>
        </w:rPr>
        <w:t xml:space="preserve">In brief, Dr. Rao's view is that the </w:t>
      </w:r>
      <w:r w:rsidR="00FC2764">
        <w:rPr>
          <w:rFonts w:ascii="Verdana" w:hAnsi="Verdana"/>
        </w:rPr>
        <w:t xml:space="preserve">current </w:t>
      </w:r>
      <w:r>
        <w:rPr>
          <w:rFonts w:ascii="Verdana" w:hAnsi="Verdana"/>
        </w:rPr>
        <w:t xml:space="preserve">problem of India's fiscal federalism </w:t>
      </w:r>
      <w:r w:rsidR="00FC2764">
        <w:rPr>
          <w:rFonts w:ascii="Verdana" w:hAnsi="Verdana"/>
        </w:rPr>
        <w:t xml:space="preserve">is best addressed by </w:t>
      </w:r>
      <w:r>
        <w:rPr>
          <w:rFonts w:ascii="Verdana" w:hAnsi="Verdana"/>
        </w:rPr>
        <w:t>recognising the scope and limits of inter-governmental transfers</w:t>
      </w:r>
      <w:r w:rsidR="000C5C91">
        <w:rPr>
          <w:rFonts w:ascii="Verdana" w:hAnsi="Verdana"/>
        </w:rPr>
        <w:t xml:space="preserve"> distinct from devolution or tax sharing</w:t>
      </w:r>
      <w:r>
        <w:rPr>
          <w:rFonts w:ascii="Verdana" w:hAnsi="Verdana"/>
        </w:rPr>
        <w:t>;</w:t>
      </w:r>
      <w:r w:rsidR="008B79C8">
        <w:rPr>
          <w:rFonts w:ascii="Verdana" w:hAnsi="Verdana"/>
        </w:rPr>
        <w:t xml:space="preserve"> and </w:t>
      </w:r>
      <w:r>
        <w:rPr>
          <w:rFonts w:ascii="Verdana" w:hAnsi="Verdana"/>
        </w:rPr>
        <w:t xml:space="preserve">designing an optimal mix of general purpose and specific purpose transfers.  </w:t>
      </w:r>
      <w:r w:rsidR="00E56698">
        <w:rPr>
          <w:rFonts w:ascii="Verdana" w:hAnsi="Verdana"/>
        </w:rPr>
        <w:t>Operationally</w:t>
      </w:r>
      <w:r>
        <w:rPr>
          <w:rFonts w:ascii="Verdana" w:hAnsi="Verdana"/>
        </w:rPr>
        <w:t xml:space="preserve">, rationalisation of Centrally Sponsored Schemes is the crux of the problem.  </w:t>
      </w:r>
    </w:p>
    <w:p w:rsidR="00E56698" w:rsidRDefault="00E56698" w:rsidP="00795DF5">
      <w:pPr>
        <w:spacing w:line="480" w:lineRule="auto"/>
        <w:ind w:firstLine="720"/>
        <w:jc w:val="both"/>
        <w:rPr>
          <w:rFonts w:ascii="Verdana" w:hAnsi="Verdana"/>
        </w:rPr>
      </w:pPr>
      <w:r>
        <w:rPr>
          <w:rFonts w:ascii="Verdana" w:hAnsi="Verdana"/>
        </w:rPr>
        <w:t>As the discussion in Part I of the lecture has shown</w:t>
      </w:r>
      <w:proofErr w:type="gramStart"/>
      <w:r>
        <w:rPr>
          <w:rFonts w:ascii="Verdana" w:hAnsi="Verdana"/>
        </w:rPr>
        <w:t>,</w:t>
      </w:r>
      <w:proofErr w:type="gramEnd"/>
      <w:r>
        <w:rPr>
          <w:rFonts w:ascii="Verdana" w:hAnsi="Verdana"/>
        </w:rPr>
        <w:t xml:space="preserve"> tax devolution and deficit grants were less controversial.  </w:t>
      </w:r>
    </w:p>
    <w:p w:rsidR="00946882" w:rsidRDefault="00946882" w:rsidP="00946882">
      <w:pPr>
        <w:rPr>
          <w:rFonts w:ascii="Verdana" w:hAnsi="Verdana"/>
        </w:rPr>
      </w:pPr>
      <w:r w:rsidRPr="00946882">
        <w:rPr>
          <w:rFonts w:ascii="Verdana" w:hAnsi="Verdana"/>
          <w:b/>
          <w:u w:val="single"/>
        </w:rPr>
        <w:t xml:space="preserve">Finance Commission </w:t>
      </w:r>
      <w:r w:rsidR="00C4194C">
        <w:rPr>
          <w:rFonts w:ascii="Verdana" w:hAnsi="Verdana"/>
          <w:b/>
          <w:u w:val="single"/>
        </w:rPr>
        <w:t xml:space="preserve">as </w:t>
      </w:r>
      <w:r w:rsidRPr="00946882">
        <w:rPr>
          <w:rFonts w:ascii="Verdana" w:hAnsi="Verdana"/>
          <w:b/>
          <w:u w:val="single"/>
        </w:rPr>
        <w:t>a Permanent Body</w:t>
      </w:r>
      <w:r w:rsidR="00532C63">
        <w:rPr>
          <w:rFonts w:ascii="Verdana" w:hAnsi="Verdana"/>
        </w:rPr>
        <w:t xml:space="preserve"> </w:t>
      </w:r>
    </w:p>
    <w:p w:rsidR="00C505E3" w:rsidRDefault="00451172" w:rsidP="007D6533">
      <w:pPr>
        <w:spacing w:line="480" w:lineRule="auto"/>
        <w:jc w:val="both"/>
        <w:rPr>
          <w:rFonts w:ascii="Verdana" w:hAnsi="Verdana"/>
        </w:rPr>
      </w:pPr>
      <w:r>
        <w:rPr>
          <w:rFonts w:ascii="Verdana" w:hAnsi="Verdana"/>
        </w:rPr>
        <w:lastRenderedPageBreak/>
        <w:tab/>
        <w:t xml:space="preserve">Shri </w:t>
      </w:r>
      <w:proofErr w:type="spellStart"/>
      <w:r>
        <w:rPr>
          <w:rFonts w:ascii="Verdana" w:hAnsi="Verdana"/>
        </w:rPr>
        <w:t>Shaktikanta</w:t>
      </w:r>
      <w:proofErr w:type="spellEnd"/>
      <w:r>
        <w:rPr>
          <w:rFonts w:ascii="Verdana" w:hAnsi="Verdana"/>
        </w:rPr>
        <w:t xml:space="preserve"> Das, Governor, Reserve Bank of </w:t>
      </w:r>
      <w:proofErr w:type="gramStart"/>
      <w:r>
        <w:rPr>
          <w:rFonts w:ascii="Verdana" w:hAnsi="Verdana"/>
        </w:rPr>
        <w:t>India,</w:t>
      </w:r>
      <w:proofErr w:type="gramEnd"/>
      <w:r>
        <w:rPr>
          <w:rFonts w:ascii="Verdana" w:hAnsi="Verdana"/>
        </w:rPr>
        <w:t xml:space="preserve"> share</w:t>
      </w:r>
      <w:r w:rsidR="004437A3">
        <w:rPr>
          <w:rFonts w:ascii="Verdana" w:hAnsi="Verdana"/>
        </w:rPr>
        <w:t>d</w:t>
      </w:r>
      <w:r>
        <w:rPr>
          <w:rFonts w:ascii="Verdana" w:hAnsi="Verdana"/>
        </w:rPr>
        <w:t xml:space="preserve"> some of his own personal thoughts on fiscal federalism in a speech on 19th March</w:t>
      </w:r>
      <w:r w:rsidR="00E0280A">
        <w:rPr>
          <w:rFonts w:ascii="Verdana" w:hAnsi="Verdana"/>
        </w:rPr>
        <w:t xml:space="preserve"> 2019</w:t>
      </w:r>
      <w:r>
        <w:rPr>
          <w:rFonts w:ascii="Verdana" w:hAnsi="Verdana"/>
        </w:rPr>
        <w:t xml:space="preserve">.  He </w:t>
      </w:r>
      <w:r w:rsidR="004437A3">
        <w:rPr>
          <w:rFonts w:ascii="Verdana" w:hAnsi="Verdana"/>
        </w:rPr>
        <w:t xml:space="preserve">referred to the need to strengthen </w:t>
      </w:r>
      <w:r>
        <w:rPr>
          <w:rFonts w:ascii="Verdana" w:hAnsi="Verdana"/>
        </w:rPr>
        <w:t xml:space="preserve">local bodies; </w:t>
      </w:r>
      <w:r w:rsidR="004437A3">
        <w:rPr>
          <w:rFonts w:ascii="Verdana" w:hAnsi="Verdana"/>
        </w:rPr>
        <w:t xml:space="preserve">to </w:t>
      </w:r>
      <w:r>
        <w:rPr>
          <w:rFonts w:ascii="Verdana" w:hAnsi="Verdana"/>
        </w:rPr>
        <w:t>the possibility for "GST Council expand</w:t>
      </w:r>
      <w:r w:rsidR="00C505E3">
        <w:rPr>
          <w:rFonts w:ascii="Verdana" w:hAnsi="Verdana"/>
        </w:rPr>
        <w:t>ing</w:t>
      </w:r>
      <w:r>
        <w:rPr>
          <w:rFonts w:ascii="Verdana" w:hAnsi="Verdana"/>
        </w:rPr>
        <w:t xml:space="preserve"> its scope and agree</w:t>
      </w:r>
      <w:r w:rsidR="00C505E3">
        <w:rPr>
          <w:rFonts w:ascii="Verdana" w:hAnsi="Verdana"/>
        </w:rPr>
        <w:t>ing</w:t>
      </w:r>
      <w:r>
        <w:rPr>
          <w:rFonts w:ascii="Verdana" w:hAnsi="Verdana"/>
        </w:rPr>
        <w:t xml:space="preserve"> to work on other areas of reforms</w:t>
      </w:r>
      <w:r w:rsidR="00C505E3">
        <w:rPr>
          <w:rFonts w:ascii="Verdana" w:hAnsi="Verdana"/>
        </w:rPr>
        <w:t xml:space="preserve"> to generate national consensus</w:t>
      </w:r>
      <w:r>
        <w:rPr>
          <w:rFonts w:ascii="Verdana" w:hAnsi="Verdana"/>
        </w:rPr>
        <w:t>"</w:t>
      </w:r>
      <w:r w:rsidR="007D6533">
        <w:rPr>
          <w:rFonts w:ascii="Verdana" w:hAnsi="Verdana"/>
        </w:rPr>
        <w:t xml:space="preserve">; </w:t>
      </w:r>
      <w:r w:rsidR="004437A3">
        <w:rPr>
          <w:rFonts w:ascii="Verdana" w:hAnsi="Verdana"/>
        </w:rPr>
        <w:t xml:space="preserve">to derive </w:t>
      </w:r>
      <w:r w:rsidR="007D6533">
        <w:rPr>
          <w:rFonts w:ascii="Verdana" w:hAnsi="Verdana"/>
        </w:rPr>
        <w:t xml:space="preserve">annual fiscal deficit targets from </w:t>
      </w:r>
      <w:r w:rsidR="004437A3">
        <w:rPr>
          <w:rFonts w:ascii="Verdana" w:hAnsi="Verdana"/>
        </w:rPr>
        <w:t xml:space="preserve">the </w:t>
      </w:r>
      <w:r w:rsidR="007D6533">
        <w:rPr>
          <w:rFonts w:ascii="Verdana" w:hAnsi="Verdana"/>
        </w:rPr>
        <w:t>fiscal path of FRBM Review Committee; and most importan</w:t>
      </w:r>
      <w:r w:rsidR="004437A3">
        <w:rPr>
          <w:rFonts w:ascii="Verdana" w:hAnsi="Verdana"/>
        </w:rPr>
        <w:t>tly</w:t>
      </w:r>
      <w:r w:rsidR="007D6533">
        <w:rPr>
          <w:rFonts w:ascii="Verdana" w:hAnsi="Verdana"/>
        </w:rPr>
        <w:t xml:space="preserve">, </w:t>
      </w:r>
      <w:r w:rsidR="004437A3">
        <w:rPr>
          <w:rFonts w:ascii="Verdana" w:hAnsi="Verdana"/>
        </w:rPr>
        <w:t xml:space="preserve">to the </w:t>
      </w:r>
      <w:r w:rsidR="007D6533">
        <w:rPr>
          <w:rFonts w:ascii="Verdana" w:hAnsi="Verdana"/>
        </w:rPr>
        <w:t xml:space="preserve">future of </w:t>
      </w:r>
      <w:r w:rsidR="008702A0">
        <w:rPr>
          <w:rFonts w:ascii="Verdana" w:hAnsi="Verdana"/>
        </w:rPr>
        <w:t xml:space="preserve">the </w:t>
      </w:r>
      <w:r w:rsidR="007D6533">
        <w:rPr>
          <w:rFonts w:ascii="Verdana" w:hAnsi="Verdana"/>
        </w:rPr>
        <w:t>Finance Commission.</w:t>
      </w:r>
    </w:p>
    <w:p w:rsidR="00451172" w:rsidRDefault="007D6533" w:rsidP="007D6533">
      <w:pPr>
        <w:spacing w:line="480" w:lineRule="auto"/>
        <w:jc w:val="both"/>
        <w:rPr>
          <w:rFonts w:ascii="Verdana" w:hAnsi="Verdana"/>
        </w:rPr>
      </w:pPr>
      <w:r>
        <w:rPr>
          <w:rFonts w:ascii="Verdana" w:hAnsi="Verdana"/>
        </w:rPr>
        <w:t xml:space="preserve">  </w:t>
      </w:r>
      <w:r w:rsidR="00C505E3">
        <w:rPr>
          <w:rFonts w:ascii="Verdana" w:hAnsi="Verdana"/>
        </w:rPr>
        <w:tab/>
      </w:r>
      <w:r>
        <w:rPr>
          <w:rFonts w:ascii="Verdana" w:hAnsi="Verdana"/>
        </w:rPr>
        <w:t>Two sentences are significant in regard</w:t>
      </w:r>
      <w:r w:rsidR="00C505E3">
        <w:rPr>
          <w:rFonts w:ascii="Verdana" w:hAnsi="Verdana"/>
        </w:rPr>
        <w:t xml:space="preserve"> to future of Finance Commissions</w:t>
      </w:r>
      <w:r>
        <w:rPr>
          <w:rFonts w:ascii="Verdana" w:hAnsi="Verdana"/>
        </w:rPr>
        <w:t xml:space="preserve">.  </w:t>
      </w:r>
      <w:r w:rsidR="001A5F2F">
        <w:rPr>
          <w:rFonts w:ascii="Verdana" w:hAnsi="Verdana"/>
        </w:rPr>
        <w:t>"</w:t>
      </w:r>
      <w:r w:rsidR="00102AB2">
        <w:rPr>
          <w:rFonts w:ascii="Verdana" w:hAnsi="Verdana"/>
        </w:rPr>
        <w:t xml:space="preserve">While at one level there has to be a framework for innovative thinking by every Finance Commission, at another level there is need to ensure broad consistency between </w:t>
      </w:r>
      <w:r w:rsidR="008702A0">
        <w:rPr>
          <w:rFonts w:ascii="Verdana" w:hAnsi="Verdana"/>
        </w:rPr>
        <w:t xml:space="preserve">the recommendations of the </w:t>
      </w:r>
      <w:r w:rsidR="00102AB2">
        <w:rPr>
          <w:rFonts w:ascii="Verdana" w:hAnsi="Verdana"/>
        </w:rPr>
        <w:t>Finance Commissions.  Increasingly, therefore, it is felt that there is need to give permanent status to the Finance Commission which can function as leaner entity in the intervening period till the next Finance Commission is set up in a full-fledged manner.  Such an entity during the intervening period can also address issues arising from implementation of the recommendations of the Finance Commission.</w:t>
      </w:r>
      <w:r w:rsidR="001A5F2F">
        <w:rPr>
          <w:rFonts w:ascii="Verdana" w:hAnsi="Verdana"/>
        </w:rPr>
        <w:t>"</w:t>
      </w:r>
      <w:r w:rsidR="00102AB2">
        <w:rPr>
          <w:rFonts w:ascii="Verdana" w:hAnsi="Verdana"/>
        </w:rPr>
        <w:t xml:space="preserve">  </w:t>
      </w:r>
    </w:p>
    <w:p w:rsidR="00B346A9" w:rsidRDefault="00532C63" w:rsidP="00532C63">
      <w:pPr>
        <w:spacing w:line="480" w:lineRule="auto"/>
        <w:jc w:val="both"/>
        <w:rPr>
          <w:rFonts w:ascii="Verdana" w:hAnsi="Verdana"/>
        </w:rPr>
      </w:pPr>
      <w:r>
        <w:rPr>
          <w:rFonts w:ascii="Verdana" w:hAnsi="Verdana"/>
        </w:rPr>
        <w:tab/>
        <w:t xml:space="preserve">The terms of reference of the </w:t>
      </w:r>
      <w:r w:rsidR="005E14EA">
        <w:rPr>
          <w:rFonts w:ascii="Verdana" w:hAnsi="Verdana"/>
        </w:rPr>
        <w:t xml:space="preserve">XV </w:t>
      </w:r>
      <w:r>
        <w:rPr>
          <w:rFonts w:ascii="Verdana" w:hAnsi="Verdana"/>
        </w:rPr>
        <w:t>Finance Commission contain many tasks that would require c</w:t>
      </w:r>
      <w:r w:rsidR="0005159E">
        <w:rPr>
          <w:rFonts w:ascii="Verdana" w:hAnsi="Verdana"/>
        </w:rPr>
        <w:t xml:space="preserve">ontinuity.  </w:t>
      </w:r>
      <w:r w:rsidR="005B5719">
        <w:rPr>
          <w:rFonts w:ascii="Verdana" w:hAnsi="Verdana"/>
        </w:rPr>
        <w:t>Therefore, t</w:t>
      </w:r>
      <w:r w:rsidR="0005159E">
        <w:rPr>
          <w:rFonts w:ascii="Verdana" w:hAnsi="Verdana"/>
        </w:rPr>
        <w:t>her</w:t>
      </w:r>
      <w:r>
        <w:rPr>
          <w:rFonts w:ascii="Verdana" w:hAnsi="Verdana"/>
        </w:rPr>
        <w:t xml:space="preserve">e </w:t>
      </w:r>
      <w:r w:rsidR="0005159E">
        <w:rPr>
          <w:rFonts w:ascii="Verdana" w:hAnsi="Verdana"/>
        </w:rPr>
        <w:t xml:space="preserve">will be </w:t>
      </w:r>
      <w:r w:rsidR="005B5719">
        <w:rPr>
          <w:rFonts w:ascii="Verdana" w:hAnsi="Verdana"/>
        </w:rPr>
        <w:t xml:space="preserve">a temptation for XV </w:t>
      </w:r>
      <w:r>
        <w:rPr>
          <w:rFonts w:ascii="Verdana" w:hAnsi="Verdana"/>
        </w:rPr>
        <w:t>Finance Commission to recommend that it be made permanent</w:t>
      </w:r>
      <w:r w:rsidR="0005159E">
        <w:rPr>
          <w:rFonts w:ascii="Verdana" w:hAnsi="Verdana"/>
        </w:rPr>
        <w:t>.</w:t>
      </w:r>
      <w:r>
        <w:rPr>
          <w:rFonts w:ascii="Verdana" w:hAnsi="Verdana"/>
        </w:rPr>
        <w:t xml:space="preserve"> </w:t>
      </w:r>
      <w:r w:rsidR="0005159E">
        <w:rPr>
          <w:rFonts w:ascii="Verdana" w:hAnsi="Verdana"/>
        </w:rPr>
        <w:t xml:space="preserve">It could then </w:t>
      </w:r>
      <w:r w:rsidR="007F24A6">
        <w:rPr>
          <w:rFonts w:ascii="Verdana" w:hAnsi="Verdana"/>
        </w:rPr>
        <w:t xml:space="preserve">potentially </w:t>
      </w:r>
      <w:r w:rsidR="0005159E">
        <w:rPr>
          <w:rFonts w:ascii="Verdana" w:hAnsi="Verdana"/>
        </w:rPr>
        <w:t>be</w:t>
      </w:r>
      <w:r w:rsidR="007F24A6">
        <w:rPr>
          <w:rFonts w:ascii="Verdana" w:hAnsi="Verdana"/>
        </w:rPr>
        <w:t>come</w:t>
      </w:r>
      <w:r w:rsidR="0005159E">
        <w:rPr>
          <w:rFonts w:ascii="Verdana" w:hAnsi="Verdana"/>
        </w:rPr>
        <w:t xml:space="preserve"> </w:t>
      </w:r>
      <w:r>
        <w:rPr>
          <w:rFonts w:ascii="Verdana" w:hAnsi="Verdana"/>
        </w:rPr>
        <w:t xml:space="preserve">sole agency responsible for all transfers, in addition to recommending tax sharing periodically.  </w:t>
      </w:r>
    </w:p>
    <w:p w:rsidR="00532C63" w:rsidRPr="00532C63" w:rsidRDefault="00B346A9" w:rsidP="00B346A9">
      <w:pPr>
        <w:spacing w:line="480" w:lineRule="auto"/>
        <w:ind w:firstLine="720"/>
        <w:jc w:val="both"/>
        <w:rPr>
          <w:rFonts w:ascii="Verdana" w:hAnsi="Verdana"/>
        </w:rPr>
      </w:pPr>
      <w:r>
        <w:rPr>
          <w:rFonts w:ascii="Verdana" w:hAnsi="Verdana"/>
        </w:rPr>
        <w:lastRenderedPageBreak/>
        <w:t>It is good to recall that a</w:t>
      </w:r>
      <w:r w:rsidR="00532C63">
        <w:rPr>
          <w:rFonts w:ascii="Verdana" w:hAnsi="Verdana"/>
        </w:rPr>
        <w:t xml:space="preserve"> case was made out in the past </w:t>
      </w:r>
      <w:r>
        <w:rPr>
          <w:rFonts w:ascii="Verdana" w:hAnsi="Verdana"/>
        </w:rPr>
        <w:t xml:space="preserve">also for </w:t>
      </w:r>
      <w:r w:rsidR="0043551F">
        <w:rPr>
          <w:rFonts w:ascii="Verdana" w:hAnsi="Verdana"/>
        </w:rPr>
        <w:t xml:space="preserve">a permanent Finance Commission, by merging the functions of Planning Commission and Finance Commission.  </w:t>
      </w:r>
    </w:p>
    <w:p w:rsidR="00946882" w:rsidRDefault="00F019EE" w:rsidP="00946882">
      <w:pPr>
        <w:spacing w:line="480" w:lineRule="auto"/>
        <w:ind w:firstLine="720"/>
        <w:jc w:val="both"/>
        <w:rPr>
          <w:rFonts w:ascii="Verdana" w:hAnsi="Verdana"/>
        </w:rPr>
      </w:pPr>
      <w:r>
        <w:rPr>
          <w:rFonts w:ascii="Verdana" w:hAnsi="Verdana"/>
        </w:rPr>
        <w:t xml:space="preserve">First, </w:t>
      </w:r>
      <w:r w:rsidR="004437A3">
        <w:rPr>
          <w:rFonts w:ascii="Verdana" w:hAnsi="Verdana"/>
        </w:rPr>
        <w:t xml:space="preserve">the </w:t>
      </w:r>
      <w:r>
        <w:rPr>
          <w:rFonts w:ascii="Verdana" w:hAnsi="Verdana"/>
        </w:rPr>
        <w:t>argument</w:t>
      </w:r>
      <w:r w:rsidR="00946882" w:rsidRPr="00B00583">
        <w:rPr>
          <w:rFonts w:ascii="Verdana" w:hAnsi="Verdana"/>
        </w:rPr>
        <w:t xml:space="preserve"> in favour of a permanent Finance Commission </w:t>
      </w:r>
      <w:r w:rsidR="004437A3">
        <w:rPr>
          <w:rFonts w:ascii="Verdana" w:hAnsi="Verdana"/>
        </w:rPr>
        <w:t>wa</w:t>
      </w:r>
      <w:r w:rsidR="00946882" w:rsidRPr="00B00583">
        <w:rPr>
          <w:rFonts w:ascii="Verdana" w:hAnsi="Verdana"/>
        </w:rPr>
        <w:t>s that</w:t>
      </w:r>
      <w:r w:rsidR="005E14EA">
        <w:rPr>
          <w:rFonts w:ascii="Verdana" w:hAnsi="Verdana"/>
        </w:rPr>
        <w:t xml:space="preserve"> since</w:t>
      </w:r>
      <w:r w:rsidR="00946882" w:rsidRPr="00B00583">
        <w:rPr>
          <w:rFonts w:ascii="Verdana" w:hAnsi="Verdana"/>
        </w:rPr>
        <w:t xml:space="preserve"> it </w:t>
      </w:r>
      <w:r w:rsidR="004437A3">
        <w:rPr>
          <w:rFonts w:ascii="Verdana" w:hAnsi="Verdana"/>
        </w:rPr>
        <w:t>was</w:t>
      </w:r>
      <w:r w:rsidR="00946882" w:rsidRPr="00B00583">
        <w:rPr>
          <w:rFonts w:ascii="Verdana" w:hAnsi="Verdana"/>
        </w:rPr>
        <w:t xml:space="preserve"> a Constitutional body</w:t>
      </w:r>
      <w:r w:rsidR="00A35AC8">
        <w:rPr>
          <w:rFonts w:ascii="Verdana" w:hAnsi="Verdana"/>
        </w:rPr>
        <w:t xml:space="preserve"> </w:t>
      </w:r>
      <w:r>
        <w:rPr>
          <w:rFonts w:ascii="Verdana" w:hAnsi="Verdana"/>
        </w:rPr>
        <w:t xml:space="preserve">all transfers </w:t>
      </w:r>
      <w:r w:rsidR="00946882">
        <w:rPr>
          <w:rFonts w:ascii="Verdana" w:hAnsi="Verdana"/>
        </w:rPr>
        <w:t xml:space="preserve">to the States </w:t>
      </w:r>
      <w:r w:rsidR="00946882" w:rsidRPr="00B00583">
        <w:rPr>
          <w:rFonts w:ascii="Verdana" w:hAnsi="Verdana"/>
        </w:rPr>
        <w:t>should be the man</w:t>
      </w:r>
      <w:r>
        <w:rPr>
          <w:rFonts w:ascii="Verdana" w:hAnsi="Verdana"/>
        </w:rPr>
        <w:t xml:space="preserve">date of the Finance Commission only.  </w:t>
      </w:r>
    </w:p>
    <w:p w:rsidR="00D24167" w:rsidRDefault="00D24167" w:rsidP="00D24167">
      <w:pPr>
        <w:spacing w:line="480" w:lineRule="auto"/>
        <w:ind w:firstLine="720"/>
        <w:jc w:val="both"/>
        <w:rPr>
          <w:rFonts w:ascii="Verdana" w:hAnsi="Verdana"/>
        </w:rPr>
      </w:pPr>
      <w:r>
        <w:rPr>
          <w:rFonts w:ascii="Verdana" w:hAnsi="Verdana"/>
        </w:rPr>
        <w:t xml:space="preserve">A second argument </w:t>
      </w:r>
      <w:r w:rsidR="004437A3">
        <w:rPr>
          <w:rFonts w:ascii="Verdana" w:hAnsi="Verdana"/>
        </w:rPr>
        <w:t>wa</w:t>
      </w:r>
      <w:r>
        <w:rPr>
          <w:rFonts w:ascii="Verdana" w:hAnsi="Verdana"/>
        </w:rPr>
        <w:t xml:space="preserve">s that the functions of Finance and Planning Commissions </w:t>
      </w:r>
      <w:r w:rsidR="004437A3">
        <w:rPr>
          <w:rFonts w:ascii="Verdana" w:hAnsi="Verdana"/>
        </w:rPr>
        <w:t>we</w:t>
      </w:r>
      <w:r>
        <w:rPr>
          <w:rFonts w:ascii="Verdana" w:hAnsi="Verdana"/>
        </w:rPr>
        <w:t xml:space="preserve">re overlapping and there </w:t>
      </w:r>
      <w:r w:rsidR="004437A3">
        <w:rPr>
          <w:rFonts w:ascii="Verdana" w:hAnsi="Verdana"/>
        </w:rPr>
        <w:t>was</w:t>
      </w:r>
      <w:r>
        <w:rPr>
          <w:rFonts w:ascii="Verdana" w:hAnsi="Verdana"/>
        </w:rPr>
        <w:t xml:space="preserve"> duplication.</w:t>
      </w:r>
      <w:r w:rsidR="004407EB">
        <w:rPr>
          <w:rFonts w:ascii="Verdana" w:hAnsi="Verdana"/>
        </w:rPr>
        <w:t xml:space="preserve">  Hence, that should be avoided.  </w:t>
      </w:r>
    </w:p>
    <w:p w:rsidR="00D24167" w:rsidRDefault="00D71FB8" w:rsidP="00946882">
      <w:pPr>
        <w:spacing w:line="480" w:lineRule="auto"/>
        <w:ind w:firstLine="720"/>
        <w:jc w:val="both"/>
        <w:rPr>
          <w:rFonts w:ascii="Verdana" w:hAnsi="Verdana"/>
        </w:rPr>
      </w:pPr>
      <w:r>
        <w:rPr>
          <w:rFonts w:ascii="Verdana" w:hAnsi="Verdana"/>
        </w:rPr>
        <w:t>In fact, t</w:t>
      </w:r>
      <w:r w:rsidR="00946882" w:rsidRPr="00B00583">
        <w:rPr>
          <w:rFonts w:ascii="Verdana" w:hAnsi="Verdana"/>
        </w:rPr>
        <w:t xml:space="preserve">he </w:t>
      </w:r>
      <w:r w:rsidR="00946882">
        <w:rPr>
          <w:rFonts w:ascii="Verdana" w:hAnsi="Verdana"/>
        </w:rPr>
        <w:t>T</w:t>
      </w:r>
      <w:r w:rsidR="00946882" w:rsidRPr="00B00583">
        <w:rPr>
          <w:rFonts w:ascii="Verdana" w:hAnsi="Verdana"/>
        </w:rPr>
        <w:t xml:space="preserve">hird </w:t>
      </w:r>
      <w:r w:rsidR="00946882">
        <w:rPr>
          <w:rFonts w:ascii="Verdana" w:hAnsi="Verdana"/>
        </w:rPr>
        <w:t>F</w:t>
      </w:r>
      <w:r w:rsidR="00946882" w:rsidRPr="00B00583">
        <w:rPr>
          <w:rFonts w:ascii="Verdana" w:hAnsi="Verdana"/>
        </w:rPr>
        <w:t xml:space="preserve">inance </w:t>
      </w:r>
      <w:r w:rsidR="00946882">
        <w:rPr>
          <w:rFonts w:ascii="Verdana" w:hAnsi="Verdana"/>
        </w:rPr>
        <w:t>C</w:t>
      </w:r>
      <w:r w:rsidR="00946882" w:rsidRPr="00B00583">
        <w:rPr>
          <w:rFonts w:ascii="Verdana" w:hAnsi="Verdana"/>
        </w:rPr>
        <w:t>ommission deliberated on this subject and argued that as Non-Finance Commission transfers are discretionary, the role of the Finance Commission be expanded to encompass all aspects of transfers including loans given to the States.  Recommendations of the Third Fina</w:t>
      </w:r>
      <w:r w:rsidR="00A55F3C">
        <w:rPr>
          <w:rFonts w:ascii="Verdana" w:hAnsi="Verdana"/>
        </w:rPr>
        <w:t xml:space="preserve">nce Commission </w:t>
      </w:r>
      <w:r w:rsidR="005E14EA">
        <w:rPr>
          <w:rFonts w:ascii="Verdana" w:hAnsi="Verdana"/>
        </w:rPr>
        <w:t xml:space="preserve">were </w:t>
      </w:r>
      <w:r w:rsidR="00A55F3C">
        <w:rPr>
          <w:rFonts w:ascii="Verdana" w:hAnsi="Verdana"/>
        </w:rPr>
        <w:t xml:space="preserve">not accepted by the Government.  </w:t>
      </w:r>
      <w:r w:rsidR="00946882">
        <w:rPr>
          <w:rFonts w:ascii="Verdana" w:hAnsi="Verdana"/>
        </w:rPr>
        <w:t xml:space="preserve">  </w:t>
      </w:r>
    </w:p>
    <w:p w:rsidR="005B28A5" w:rsidRDefault="005B28A5" w:rsidP="00946882">
      <w:pPr>
        <w:spacing w:line="480" w:lineRule="auto"/>
        <w:ind w:firstLine="720"/>
        <w:jc w:val="both"/>
        <w:rPr>
          <w:rFonts w:ascii="Verdana" w:hAnsi="Verdana"/>
        </w:rPr>
      </w:pPr>
      <w:r>
        <w:rPr>
          <w:rFonts w:ascii="Verdana" w:hAnsi="Verdana"/>
        </w:rPr>
        <w:t xml:space="preserve">Mr. K. K. Venugopal, in his presentation to the Ninth Finance Commission stated, “There is nothing in the Constitution </w:t>
      </w:r>
      <w:r w:rsidR="00D87FEA">
        <w:rPr>
          <w:rFonts w:ascii="Verdana" w:hAnsi="Verdana"/>
        </w:rPr>
        <w:t xml:space="preserve">which precludes or prohibits a Finance Commission continuing for a period of five years and then replaced by another Finance Commission.  Article 280 says that there shall be a Finance Commission for a period of every five years or for such period as may be fixed by the Government.” </w:t>
      </w:r>
      <w:proofErr w:type="gramStart"/>
      <w:r w:rsidR="00D87FEA">
        <w:rPr>
          <w:rFonts w:ascii="Verdana" w:hAnsi="Verdana"/>
        </w:rPr>
        <w:t>(NIPFP, 1993.</w:t>
      </w:r>
      <w:proofErr w:type="gramEnd"/>
      <w:r w:rsidR="00D87FEA">
        <w:rPr>
          <w:rFonts w:ascii="Verdana" w:hAnsi="Verdana"/>
        </w:rPr>
        <w:t xml:space="preserve">  PP. 232-233). </w:t>
      </w:r>
    </w:p>
    <w:p w:rsidR="00946882" w:rsidRDefault="00946882" w:rsidP="00946882">
      <w:pPr>
        <w:spacing w:line="480" w:lineRule="auto"/>
        <w:ind w:firstLine="720"/>
        <w:jc w:val="both"/>
        <w:rPr>
          <w:rFonts w:ascii="Verdana" w:hAnsi="Verdana"/>
        </w:rPr>
      </w:pPr>
      <w:r>
        <w:rPr>
          <w:rFonts w:ascii="Verdana" w:hAnsi="Verdana"/>
        </w:rPr>
        <w:t xml:space="preserve">Sarkaria Commission </w:t>
      </w:r>
      <w:r w:rsidR="00F524BE">
        <w:rPr>
          <w:rFonts w:ascii="Verdana" w:hAnsi="Verdana"/>
        </w:rPr>
        <w:t xml:space="preserve">which considered the issue was also opposed to the idea.  It </w:t>
      </w:r>
      <w:r>
        <w:rPr>
          <w:rFonts w:ascii="Verdana" w:hAnsi="Verdana"/>
        </w:rPr>
        <w:t xml:space="preserve">recommended that “Finance Commission </w:t>
      </w:r>
      <w:r w:rsidRPr="00A03EB4">
        <w:rPr>
          <w:rFonts w:ascii="Verdana" w:hAnsi="Verdana"/>
        </w:rPr>
        <w:t>is</w:t>
      </w:r>
      <w:r>
        <w:rPr>
          <w:rFonts w:ascii="Verdana" w:hAnsi="Verdana"/>
        </w:rPr>
        <w:t xml:space="preserve"> </w:t>
      </w:r>
      <w:r w:rsidRPr="00A03EB4">
        <w:rPr>
          <w:rFonts w:ascii="Verdana" w:hAnsi="Verdana"/>
        </w:rPr>
        <w:t xml:space="preserve">essentially an expert recommendatory body and cannot be expected to participate in active </w:t>
      </w:r>
      <w:r w:rsidRPr="00A03EB4">
        <w:rPr>
          <w:rFonts w:ascii="Verdana" w:hAnsi="Verdana"/>
        </w:rPr>
        <w:lastRenderedPageBreak/>
        <w:t>determination of</w:t>
      </w:r>
      <w:r>
        <w:rPr>
          <w:rFonts w:ascii="Verdana" w:hAnsi="Verdana"/>
        </w:rPr>
        <w:t xml:space="preserve"> </w:t>
      </w:r>
      <w:r w:rsidRPr="00A03EB4">
        <w:rPr>
          <w:rFonts w:ascii="Verdana" w:hAnsi="Verdana"/>
        </w:rPr>
        <w:t>the transfers on annual basis corresponding to changes in the economic situation. Indeed, the very</w:t>
      </w:r>
      <w:r>
        <w:rPr>
          <w:rFonts w:ascii="Verdana" w:hAnsi="Verdana"/>
        </w:rPr>
        <w:t xml:space="preserve"> </w:t>
      </w:r>
      <w:r w:rsidRPr="00A03EB4">
        <w:rPr>
          <w:rFonts w:ascii="Verdana" w:hAnsi="Verdana"/>
        </w:rPr>
        <w:t>scheduling of such exercises in an annual setting may be quite cumbersome and reopen a whole host of</w:t>
      </w:r>
      <w:r>
        <w:rPr>
          <w:rFonts w:ascii="Verdana" w:hAnsi="Verdana"/>
        </w:rPr>
        <w:t xml:space="preserve"> </w:t>
      </w:r>
      <w:r w:rsidRPr="00A03EB4">
        <w:rPr>
          <w:rFonts w:ascii="Verdana" w:hAnsi="Verdana"/>
        </w:rPr>
        <w:t>issues for consideration every year. Secondly, a measure of stability is desirable in the transfers and</w:t>
      </w:r>
      <w:r>
        <w:rPr>
          <w:rFonts w:ascii="Verdana" w:hAnsi="Verdana"/>
        </w:rPr>
        <w:t xml:space="preserve"> </w:t>
      </w:r>
      <w:r w:rsidRPr="00A03EB4">
        <w:rPr>
          <w:rFonts w:ascii="Verdana" w:hAnsi="Verdana"/>
        </w:rPr>
        <w:t>frequent changes may be very unsettling and counter-productive, giving rise to avoidable friction in Union-State financial relations. We are, therefore, of the view that there is no need for a permanent Finance</w:t>
      </w:r>
      <w:r>
        <w:rPr>
          <w:rFonts w:ascii="Verdana" w:hAnsi="Verdana"/>
        </w:rPr>
        <w:t xml:space="preserve"> </w:t>
      </w:r>
      <w:r w:rsidRPr="00A03EB4">
        <w:rPr>
          <w:rFonts w:ascii="Verdana" w:hAnsi="Verdana"/>
        </w:rPr>
        <w:t>Commission.</w:t>
      </w:r>
      <w:r>
        <w:rPr>
          <w:rFonts w:ascii="Verdana" w:hAnsi="Verdana"/>
        </w:rPr>
        <w:t>”</w:t>
      </w:r>
    </w:p>
    <w:p w:rsidR="00990E90" w:rsidRDefault="00FE02DC" w:rsidP="00FE02DC">
      <w:pPr>
        <w:spacing w:line="480" w:lineRule="auto"/>
        <w:ind w:firstLine="720"/>
        <w:jc w:val="both"/>
        <w:rPr>
          <w:rFonts w:ascii="Verdana" w:hAnsi="Verdana"/>
        </w:rPr>
      </w:pPr>
      <w:r>
        <w:rPr>
          <w:rFonts w:ascii="Verdana" w:hAnsi="Verdana"/>
        </w:rPr>
        <w:t>More recently, the Fourteenth Finance Commission also opined on the issue.  It</w:t>
      </w:r>
      <w:r w:rsidR="00946882" w:rsidRPr="00B00583">
        <w:rPr>
          <w:rFonts w:ascii="Verdana" w:hAnsi="Verdana"/>
        </w:rPr>
        <w:t xml:space="preserve"> argued that entrusting the Finance Commission with responsibilities relating to all transfers from the Union to the States </w:t>
      </w:r>
      <w:r w:rsidR="004437A3">
        <w:rPr>
          <w:rFonts w:ascii="Verdana" w:hAnsi="Verdana"/>
        </w:rPr>
        <w:t>wa</w:t>
      </w:r>
      <w:r w:rsidR="00946882" w:rsidRPr="00B00583">
        <w:rPr>
          <w:rFonts w:ascii="Verdana" w:hAnsi="Verdana"/>
        </w:rPr>
        <w:t xml:space="preserve">s not advisable. In fact, </w:t>
      </w:r>
      <w:r>
        <w:rPr>
          <w:rFonts w:ascii="Verdana" w:hAnsi="Verdana"/>
        </w:rPr>
        <w:t xml:space="preserve">it recommended then </w:t>
      </w:r>
      <w:r w:rsidR="00946882" w:rsidRPr="00B00583">
        <w:rPr>
          <w:rFonts w:ascii="Verdana" w:hAnsi="Verdana"/>
        </w:rPr>
        <w:t>fiscal space for programmes and schemes reflecting national priorities and externalities be left with the Union government for implementation based on a new institutional arrangement of ‘cooperative federalism’ involving both the Union and States.</w:t>
      </w:r>
      <w:r w:rsidR="00F55294">
        <w:rPr>
          <w:rFonts w:ascii="Verdana" w:hAnsi="Verdana"/>
        </w:rPr>
        <w:t xml:space="preserve">  </w:t>
      </w:r>
      <w:r w:rsidR="001B5C32">
        <w:rPr>
          <w:rFonts w:ascii="Verdana" w:hAnsi="Verdana"/>
        </w:rPr>
        <w:t xml:space="preserve">The </w:t>
      </w:r>
      <w:r w:rsidR="002F5F15">
        <w:rPr>
          <w:rFonts w:ascii="Verdana" w:hAnsi="Verdana"/>
        </w:rPr>
        <w:t xml:space="preserve">parameters for such a new institutional arrangement have been indicated by the </w:t>
      </w:r>
      <w:r w:rsidR="003C3101">
        <w:rPr>
          <w:rFonts w:ascii="Verdana" w:hAnsi="Verdana"/>
        </w:rPr>
        <w:t>XIV</w:t>
      </w:r>
      <w:r w:rsidR="002F5F15">
        <w:rPr>
          <w:rFonts w:ascii="Verdana" w:hAnsi="Verdana"/>
        </w:rPr>
        <w:t xml:space="preserve"> Finance Commission (vide Para 12.28). </w:t>
      </w:r>
    </w:p>
    <w:p w:rsidR="00922A48" w:rsidRDefault="00990E90" w:rsidP="00990E90">
      <w:pPr>
        <w:spacing w:line="480" w:lineRule="auto"/>
        <w:ind w:firstLine="720"/>
        <w:jc w:val="both"/>
        <w:rPr>
          <w:rFonts w:ascii="Verdana" w:hAnsi="Verdana"/>
        </w:rPr>
      </w:pPr>
      <w:r>
        <w:rPr>
          <w:rFonts w:ascii="Verdana" w:hAnsi="Verdana"/>
        </w:rPr>
        <w:t>The proposal for making Finance Commission a continuous body, which is not</w:t>
      </w:r>
      <w:r w:rsidR="002F5F15">
        <w:rPr>
          <w:rFonts w:ascii="Verdana" w:hAnsi="Verdana"/>
        </w:rPr>
        <w:t xml:space="preserve"> </w:t>
      </w:r>
      <w:r>
        <w:rPr>
          <w:rFonts w:ascii="Verdana" w:hAnsi="Verdana"/>
        </w:rPr>
        <w:t xml:space="preserve">in violation of the Constitution position, can evolve in two ways.  First, </w:t>
      </w:r>
      <w:r w:rsidR="00922A48">
        <w:rPr>
          <w:rFonts w:ascii="Verdana" w:hAnsi="Verdana"/>
        </w:rPr>
        <w:t>the Union Government would abdicate its discretion currently available in designing and implementing the specific purpose transfers</w:t>
      </w:r>
      <w:r>
        <w:rPr>
          <w:rFonts w:ascii="Verdana" w:hAnsi="Verdana"/>
        </w:rPr>
        <w:t>.</w:t>
      </w:r>
      <w:r w:rsidR="00922A48">
        <w:rPr>
          <w:rFonts w:ascii="Verdana" w:hAnsi="Verdana"/>
        </w:rPr>
        <w:t xml:space="preserve"> </w:t>
      </w:r>
      <w:r>
        <w:rPr>
          <w:rFonts w:ascii="Verdana" w:hAnsi="Verdana"/>
        </w:rPr>
        <w:t xml:space="preserve">Second, </w:t>
      </w:r>
      <w:r w:rsidR="00922A48">
        <w:rPr>
          <w:rFonts w:ascii="Verdana" w:hAnsi="Verdana"/>
        </w:rPr>
        <w:t xml:space="preserve">it would dilute the neutrality of Finance Commission between Union and States through a process of continuous association with Union Government.  </w:t>
      </w:r>
      <w:r w:rsidR="003B34DF">
        <w:rPr>
          <w:rFonts w:ascii="Verdana" w:hAnsi="Verdana"/>
        </w:rPr>
        <w:t xml:space="preserve">There is a serious danger that the second </w:t>
      </w:r>
      <w:r w:rsidR="004437A3">
        <w:rPr>
          <w:rFonts w:ascii="Verdana" w:hAnsi="Verdana"/>
        </w:rPr>
        <w:t xml:space="preserve">situation </w:t>
      </w:r>
      <w:r w:rsidR="003B34DF">
        <w:rPr>
          <w:rFonts w:ascii="Verdana" w:hAnsi="Verdana"/>
        </w:rPr>
        <w:t xml:space="preserve">will prevail.  </w:t>
      </w:r>
    </w:p>
    <w:p w:rsidR="00DE6B08" w:rsidRDefault="00DE6B08" w:rsidP="00990E90">
      <w:pPr>
        <w:spacing w:line="480" w:lineRule="auto"/>
        <w:ind w:firstLine="720"/>
        <w:jc w:val="both"/>
        <w:rPr>
          <w:rFonts w:ascii="Verdana" w:hAnsi="Verdana"/>
        </w:rPr>
      </w:pPr>
      <w:r>
        <w:rPr>
          <w:rFonts w:ascii="Verdana" w:hAnsi="Verdana"/>
        </w:rPr>
        <w:lastRenderedPageBreak/>
        <w:t xml:space="preserve">In my view, there is considerable merit in having one apolitical body that provides stability, predictability primarily to sharing of taxes that </w:t>
      </w:r>
      <w:r w:rsidR="008A41CC">
        <w:rPr>
          <w:rFonts w:ascii="Verdana" w:hAnsi="Verdana"/>
        </w:rPr>
        <w:t xml:space="preserve">ensures </w:t>
      </w:r>
      <w:r>
        <w:rPr>
          <w:rFonts w:ascii="Verdana" w:hAnsi="Verdana"/>
        </w:rPr>
        <w:t>fiscal balances; and another for</w:t>
      </w:r>
      <w:r w:rsidR="005F76C8">
        <w:rPr>
          <w:rFonts w:ascii="Verdana" w:hAnsi="Verdana"/>
        </w:rPr>
        <w:t>u</w:t>
      </w:r>
      <w:r>
        <w:rPr>
          <w:rFonts w:ascii="Verdana" w:hAnsi="Verdana"/>
        </w:rPr>
        <w:t xml:space="preserve">m for transfers involving continuous political bargaining with broader mandate.  </w:t>
      </w:r>
    </w:p>
    <w:p w:rsidR="001379D4" w:rsidRDefault="001379D4" w:rsidP="00990E90">
      <w:pPr>
        <w:spacing w:line="480" w:lineRule="auto"/>
        <w:ind w:firstLine="720"/>
        <w:jc w:val="both"/>
        <w:rPr>
          <w:rFonts w:ascii="Verdana" w:hAnsi="Verdana"/>
        </w:rPr>
      </w:pPr>
      <w:r>
        <w:rPr>
          <w:rFonts w:ascii="Verdana" w:hAnsi="Verdana"/>
        </w:rPr>
        <w:t>My view in this regard is reflected in the recent book in connection with NITI Aayog:</w:t>
      </w:r>
    </w:p>
    <w:p w:rsidR="001379D4" w:rsidRDefault="001379D4" w:rsidP="00990E90">
      <w:pPr>
        <w:spacing w:line="480" w:lineRule="auto"/>
        <w:ind w:firstLine="720"/>
        <w:jc w:val="both"/>
        <w:rPr>
          <w:rFonts w:ascii="Verdana" w:hAnsi="Verdana"/>
        </w:rPr>
      </w:pPr>
      <w:r>
        <w:rPr>
          <w:rFonts w:ascii="Verdana" w:hAnsi="Verdana"/>
        </w:rPr>
        <w:t xml:space="preserve">"NITI Aayog suffers from a wide mandate and diffused focus.  The organisation should ideally be the focal point for all transfers from the Centre to States outside the recommendations of the Finance Commission.  As a continuing body, it could also ensure implementation of the Finance Commissions' recommendations.  In order to achieve this, it requires significant technical support from experts and, at the same time, substantial political support.  The latter requires an institutional arrangement, and this should ideally be in the ambit of the </w:t>
      </w:r>
      <w:proofErr w:type="spellStart"/>
      <w:r>
        <w:rPr>
          <w:rFonts w:ascii="Verdana" w:hAnsi="Verdana"/>
        </w:rPr>
        <w:t>ISC</w:t>
      </w:r>
      <w:proofErr w:type="spellEnd"/>
      <w:r>
        <w:rPr>
          <w:rFonts w:ascii="Verdana" w:hAnsi="Verdana"/>
        </w:rPr>
        <w:t xml:space="preserve"> (Inter State Council).</w:t>
      </w:r>
      <w:r w:rsidR="000D0869">
        <w:rPr>
          <w:rFonts w:ascii="Verdana" w:hAnsi="Verdana"/>
        </w:rPr>
        <w:t>" [</w:t>
      </w:r>
      <w:proofErr w:type="gramStart"/>
      <w:r w:rsidR="000D0869">
        <w:rPr>
          <w:rFonts w:ascii="Verdana" w:hAnsi="Verdana"/>
        </w:rPr>
        <w:t>page</w:t>
      </w:r>
      <w:proofErr w:type="gramEnd"/>
      <w:r w:rsidR="000D0869">
        <w:rPr>
          <w:rFonts w:ascii="Verdana" w:hAnsi="Verdana"/>
        </w:rPr>
        <w:t xml:space="preserve"> 264].</w:t>
      </w:r>
    </w:p>
    <w:p w:rsidR="00E440C5" w:rsidRDefault="00E440C5" w:rsidP="00E440C5">
      <w:pPr>
        <w:spacing w:line="480" w:lineRule="auto"/>
        <w:jc w:val="center"/>
        <w:rPr>
          <w:rFonts w:ascii="Verdana" w:hAnsi="Verdana"/>
          <w:b/>
          <w:u w:val="single"/>
        </w:rPr>
      </w:pPr>
      <w:r>
        <w:rPr>
          <w:rFonts w:ascii="Verdana" w:hAnsi="Verdana"/>
          <w:b/>
          <w:u w:val="single"/>
        </w:rPr>
        <w:t>PART III: WAY FORWARD</w:t>
      </w:r>
    </w:p>
    <w:p w:rsidR="00E440C5" w:rsidRDefault="00E440C5" w:rsidP="00E440C5">
      <w:pPr>
        <w:spacing w:line="480" w:lineRule="auto"/>
        <w:jc w:val="both"/>
        <w:rPr>
          <w:rFonts w:ascii="Verdana" w:hAnsi="Verdana"/>
        </w:rPr>
      </w:pPr>
      <w:r>
        <w:rPr>
          <w:rFonts w:ascii="Verdana" w:hAnsi="Verdana"/>
        </w:rPr>
        <w:tab/>
      </w:r>
      <w:r w:rsidR="004437A3">
        <w:rPr>
          <w:rFonts w:ascii="Verdana" w:hAnsi="Verdana"/>
        </w:rPr>
        <w:t>R</w:t>
      </w:r>
      <w:r>
        <w:rPr>
          <w:rFonts w:ascii="Verdana" w:hAnsi="Verdana"/>
        </w:rPr>
        <w:t xml:space="preserve">ecent developments are, no doubt, significant, but there is considerable misunderstanding of their implications. This has resulted in an increase in </w:t>
      </w:r>
      <w:r w:rsidR="004437A3">
        <w:rPr>
          <w:rFonts w:ascii="Verdana" w:hAnsi="Verdana"/>
        </w:rPr>
        <w:t xml:space="preserve">the </w:t>
      </w:r>
      <w:r>
        <w:rPr>
          <w:rFonts w:ascii="Verdana" w:hAnsi="Verdana"/>
        </w:rPr>
        <w:t xml:space="preserve">trust deficit between Union and States.  </w:t>
      </w:r>
      <w:r w:rsidRPr="00DB29D1">
        <w:rPr>
          <w:rFonts w:ascii="Verdana" w:hAnsi="Verdana"/>
        </w:rPr>
        <w:t xml:space="preserve"> Any framework </w:t>
      </w:r>
      <w:r>
        <w:rPr>
          <w:rFonts w:ascii="Verdana" w:hAnsi="Verdana"/>
        </w:rPr>
        <w:t xml:space="preserve">of federal fiscal </w:t>
      </w:r>
      <w:r w:rsidRPr="00DB29D1">
        <w:rPr>
          <w:rFonts w:ascii="Verdana" w:hAnsi="Verdana"/>
        </w:rPr>
        <w:t>relationship cannot be successful unless it is based on a relationship of trust. In India, a stable federal fiscal relationship over the years ha</w:t>
      </w:r>
      <w:r w:rsidR="00E0280A">
        <w:rPr>
          <w:rFonts w:ascii="Verdana" w:hAnsi="Verdana"/>
        </w:rPr>
        <w:t>s</w:t>
      </w:r>
      <w:r w:rsidRPr="00DB29D1">
        <w:rPr>
          <w:rFonts w:ascii="Verdana" w:hAnsi="Verdana"/>
        </w:rPr>
        <w:t xml:space="preserve"> evolved </w:t>
      </w:r>
      <w:r>
        <w:rPr>
          <w:rFonts w:ascii="Verdana" w:hAnsi="Verdana"/>
        </w:rPr>
        <w:t>and provided s</w:t>
      </w:r>
      <w:r w:rsidRPr="00DB29D1">
        <w:rPr>
          <w:rFonts w:ascii="Verdana" w:hAnsi="Verdana"/>
        </w:rPr>
        <w:t xml:space="preserve">tability, predictability and </w:t>
      </w:r>
      <w:r w:rsidR="00401FC8">
        <w:rPr>
          <w:rFonts w:ascii="Verdana" w:hAnsi="Verdana"/>
        </w:rPr>
        <w:t xml:space="preserve">to an extent </w:t>
      </w:r>
      <w:r w:rsidRPr="00DB29D1">
        <w:rPr>
          <w:rFonts w:ascii="Verdana" w:hAnsi="Verdana"/>
        </w:rPr>
        <w:t xml:space="preserve">progressivity in </w:t>
      </w:r>
      <w:r w:rsidR="00401FC8">
        <w:rPr>
          <w:rFonts w:ascii="Verdana" w:hAnsi="Verdana"/>
        </w:rPr>
        <w:t xml:space="preserve">sharing and </w:t>
      </w:r>
      <w:r w:rsidRPr="00DB29D1">
        <w:rPr>
          <w:rFonts w:ascii="Verdana" w:hAnsi="Verdana"/>
        </w:rPr>
        <w:t>transfer mechanism</w:t>
      </w:r>
      <w:r w:rsidR="004437A3">
        <w:rPr>
          <w:rFonts w:ascii="Verdana" w:hAnsi="Verdana"/>
        </w:rPr>
        <w:t>s</w:t>
      </w:r>
      <w:r w:rsidRPr="00DB29D1">
        <w:rPr>
          <w:rFonts w:ascii="Verdana" w:hAnsi="Verdana"/>
        </w:rPr>
        <w:t xml:space="preserve">. </w:t>
      </w:r>
      <w:r>
        <w:rPr>
          <w:rFonts w:ascii="Verdana" w:hAnsi="Verdana"/>
        </w:rPr>
        <w:t xml:space="preserve">This role has primarily been played by successive Finance Commissions. There is no </w:t>
      </w:r>
      <w:r>
        <w:rPr>
          <w:rFonts w:ascii="Verdana" w:hAnsi="Verdana"/>
        </w:rPr>
        <w:lastRenderedPageBreak/>
        <w:t xml:space="preserve">major controversy so far on the recommendations of the Finance Commissions. This is only a reflection of trust among all the stakeholders. This needs to be preserved. </w:t>
      </w:r>
    </w:p>
    <w:p w:rsidR="00E440C5" w:rsidRDefault="00E440C5" w:rsidP="00E440C5">
      <w:pPr>
        <w:spacing w:line="480" w:lineRule="auto"/>
        <w:ind w:firstLine="720"/>
        <w:jc w:val="both"/>
        <w:rPr>
          <w:rFonts w:ascii="Verdana" w:hAnsi="Verdana"/>
        </w:rPr>
      </w:pPr>
      <w:r>
        <w:rPr>
          <w:rFonts w:ascii="Verdana" w:hAnsi="Verdana"/>
        </w:rPr>
        <w:t xml:space="preserve">However, there is a perception that the </w:t>
      </w:r>
      <w:r w:rsidR="003C3101">
        <w:rPr>
          <w:rFonts w:ascii="Verdana" w:hAnsi="Verdana"/>
        </w:rPr>
        <w:t>XIV</w:t>
      </w:r>
      <w:r>
        <w:rPr>
          <w:rFonts w:ascii="Verdana" w:hAnsi="Verdana"/>
        </w:rPr>
        <w:t xml:space="preserve"> Finance Commission has been too generous with the State Governments.  The data shows that there has been no increase in the overall transfers though one component, namely, tax devolution has been somewhat in favour of the States.  The actions of the Union Government in this regard raised distrust among the States.  Similarly, the report of the FRBM Review Committee has given </w:t>
      </w:r>
      <w:r w:rsidR="006C525D">
        <w:rPr>
          <w:rFonts w:ascii="Verdana" w:hAnsi="Verdana"/>
        </w:rPr>
        <w:t>rise</w:t>
      </w:r>
      <w:r>
        <w:rPr>
          <w:rFonts w:ascii="Verdana" w:hAnsi="Verdana"/>
        </w:rPr>
        <w:t xml:space="preserve"> to doubts about the asymmetrical treatment of Union and States in regard to </w:t>
      </w:r>
      <w:r w:rsidR="004437A3">
        <w:rPr>
          <w:rFonts w:ascii="Verdana" w:hAnsi="Verdana"/>
        </w:rPr>
        <w:t xml:space="preserve">the </w:t>
      </w:r>
      <w:r>
        <w:rPr>
          <w:rFonts w:ascii="Verdana" w:hAnsi="Verdana"/>
        </w:rPr>
        <w:t xml:space="preserve">path of fiscal consolidation.  </w:t>
      </w:r>
    </w:p>
    <w:p w:rsidR="00E440C5" w:rsidRDefault="00E440C5" w:rsidP="00E440C5">
      <w:pPr>
        <w:spacing w:line="480" w:lineRule="auto"/>
        <w:ind w:firstLine="720"/>
        <w:jc w:val="both"/>
        <w:rPr>
          <w:rFonts w:ascii="Verdana" w:hAnsi="Verdana"/>
        </w:rPr>
      </w:pPr>
      <w:r>
        <w:rPr>
          <w:rFonts w:ascii="Verdana" w:hAnsi="Verdana"/>
        </w:rPr>
        <w:t>The GST</w:t>
      </w:r>
      <w:r w:rsidR="00A57D38">
        <w:rPr>
          <w:rFonts w:ascii="Verdana" w:hAnsi="Verdana"/>
        </w:rPr>
        <w:t xml:space="preserve"> Council</w:t>
      </w:r>
      <w:r>
        <w:rPr>
          <w:rFonts w:ascii="Verdana" w:hAnsi="Verdana"/>
        </w:rPr>
        <w:t xml:space="preserve"> is a valuable addition to the institutional architecture of federalism in our country, but in the implementation, the State Governments feel that they are being treated unfairly.  Controversies have risen about the Terms of Reference of the </w:t>
      </w:r>
      <w:r w:rsidR="00796D9B">
        <w:rPr>
          <w:rFonts w:ascii="Verdana" w:hAnsi="Verdana"/>
        </w:rPr>
        <w:t xml:space="preserve">XV </w:t>
      </w:r>
      <w:r>
        <w:rPr>
          <w:rFonts w:ascii="Verdana" w:hAnsi="Verdana"/>
        </w:rPr>
        <w:t xml:space="preserve">Finance Commission because of the detailing of the considerations.  In brief, most of the concerns are in the nature of mistrust between Union and States, and to some extent, lack of transparency, if not misunderstanding.  </w:t>
      </w:r>
    </w:p>
    <w:p w:rsidR="00E440C5" w:rsidRDefault="004437A3" w:rsidP="00E440C5">
      <w:pPr>
        <w:spacing w:line="480" w:lineRule="auto"/>
        <w:ind w:firstLine="720"/>
        <w:jc w:val="both"/>
        <w:rPr>
          <w:rFonts w:ascii="Verdana" w:hAnsi="Verdana"/>
        </w:rPr>
      </w:pPr>
      <w:r>
        <w:rPr>
          <w:rFonts w:ascii="Verdana" w:hAnsi="Verdana"/>
        </w:rPr>
        <w:t>R</w:t>
      </w:r>
      <w:r w:rsidR="00E440C5">
        <w:rPr>
          <w:rFonts w:ascii="Verdana" w:hAnsi="Verdana"/>
        </w:rPr>
        <w:t xml:space="preserve">eactions to recent developments have unfortunately been structural and extreme.  One view is to abolish the Finance Commission.  The other view is to make it permanent.  Some other proposals relate to a new framework, a new vision, new pillars, etc.  </w:t>
      </w:r>
    </w:p>
    <w:p w:rsidR="00E440C5" w:rsidRDefault="00E440C5" w:rsidP="00E440C5">
      <w:pPr>
        <w:spacing w:line="480" w:lineRule="auto"/>
        <w:ind w:firstLine="720"/>
        <w:jc w:val="both"/>
        <w:rPr>
          <w:rFonts w:ascii="Verdana" w:hAnsi="Verdana"/>
        </w:rPr>
      </w:pPr>
      <w:r>
        <w:rPr>
          <w:rFonts w:ascii="Verdana" w:hAnsi="Verdana"/>
        </w:rPr>
        <w:t xml:space="preserve">Way </w:t>
      </w:r>
      <w:proofErr w:type="gramStart"/>
      <w:r>
        <w:rPr>
          <w:rFonts w:ascii="Verdana" w:hAnsi="Verdana"/>
        </w:rPr>
        <w:t>Forward</w:t>
      </w:r>
      <w:proofErr w:type="gramEnd"/>
      <w:r>
        <w:rPr>
          <w:rFonts w:ascii="Verdana" w:hAnsi="Verdana"/>
        </w:rPr>
        <w:t xml:space="preserve">, it is necessary to understand the existing institutional framework and the manner in which the institutions and instruments of policy have been working.  Firstly, the Finance Commission is the bedrock of fiscal federalism of </w:t>
      </w:r>
      <w:r>
        <w:rPr>
          <w:rFonts w:ascii="Verdana" w:hAnsi="Verdana"/>
        </w:rPr>
        <w:lastRenderedPageBreak/>
        <w:t xml:space="preserve">India.  The major task of </w:t>
      </w:r>
      <w:r w:rsidR="004437A3">
        <w:rPr>
          <w:rFonts w:ascii="Verdana" w:hAnsi="Verdana"/>
        </w:rPr>
        <w:t xml:space="preserve">the </w:t>
      </w:r>
      <w:r>
        <w:rPr>
          <w:rFonts w:ascii="Verdana" w:hAnsi="Verdana"/>
        </w:rPr>
        <w:t xml:space="preserve">Finance Commission is tax sharing between the Centre and the States.  By and large, there have been no serious issues in regard to vertical balance till the terms of reference of the </w:t>
      </w:r>
      <w:r w:rsidR="004338FA">
        <w:rPr>
          <w:rFonts w:ascii="Verdana" w:hAnsi="Verdana"/>
        </w:rPr>
        <w:t xml:space="preserve">XV </w:t>
      </w:r>
      <w:r>
        <w:rPr>
          <w:rFonts w:ascii="Verdana" w:hAnsi="Verdana"/>
        </w:rPr>
        <w:t xml:space="preserve">Finance Commission.  Further, it is necessary to strengthen the hands of the Finance Commission to give an award that is fair and acceptable to both Union and States in a symmetrical manner.  The Finance Commission also gives Grants-in-Aid, but </w:t>
      </w:r>
      <w:r w:rsidR="001F57F8">
        <w:rPr>
          <w:rFonts w:ascii="Verdana" w:hAnsi="Verdana"/>
        </w:rPr>
        <w:t xml:space="preserve">these </w:t>
      </w:r>
      <w:r>
        <w:rPr>
          <w:rFonts w:ascii="Verdana" w:hAnsi="Verdana"/>
        </w:rPr>
        <w:t>have constituted on an average less than 15% of the amount of the award.  A large part of the Grants-in-Aid relates to deficit grants to the States.  These are meant to arrive at vertical and horizontal balance even when some States are not adequately compensated by the formula for tax sharing.  There can be no controversy on this issue.  The Grants-in-Aid for other purposes could certainly be examined primarily with a view to excluding those which do not have inter-state significance.  In other words, restoring the mandate of the Finance Commission to the core Terms of Reference should be the way forward.</w:t>
      </w:r>
      <w:r w:rsidRPr="006126A6">
        <w:rPr>
          <w:rFonts w:ascii="Verdana" w:hAnsi="Verdana"/>
        </w:rPr>
        <w:t xml:space="preserve"> </w:t>
      </w:r>
    </w:p>
    <w:p w:rsidR="00E440C5" w:rsidRDefault="00E440C5" w:rsidP="000B75D3">
      <w:pPr>
        <w:spacing w:line="480" w:lineRule="auto"/>
        <w:ind w:firstLine="720"/>
        <w:jc w:val="both"/>
        <w:rPr>
          <w:rFonts w:ascii="Verdana" w:hAnsi="Verdana"/>
        </w:rPr>
      </w:pPr>
      <w:r>
        <w:rPr>
          <w:rFonts w:ascii="Verdana" w:hAnsi="Verdana"/>
        </w:rPr>
        <w:t xml:space="preserve">There has also been </w:t>
      </w:r>
      <w:r w:rsidR="0022123A">
        <w:rPr>
          <w:rFonts w:ascii="Verdana" w:hAnsi="Verdana"/>
        </w:rPr>
        <w:t>a suggestion</w:t>
      </w:r>
      <w:r>
        <w:rPr>
          <w:rFonts w:ascii="Verdana" w:hAnsi="Verdana"/>
        </w:rPr>
        <w:t xml:space="preserve"> to fix the vertical share </w:t>
      </w:r>
      <w:r w:rsidR="006C525D">
        <w:rPr>
          <w:rFonts w:ascii="Verdana" w:hAnsi="Verdana"/>
        </w:rPr>
        <w:t>through constitutional amendments</w:t>
      </w:r>
      <w:r>
        <w:rPr>
          <w:rFonts w:ascii="Verdana" w:hAnsi="Verdana"/>
        </w:rPr>
        <w:t xml:space="preserve">. This may ensure greater predictability but can introduce rigidity in the transfers. </w:t>
      </w:r>
      <w:r w:rsidR="000B75D3">
        <w:rPr>
          <w:rFonts w:ascii="Verdana" w:hAnsi="Verdana"/>
        </w:rPr>
        <w:t xml:space="preserve"> Operationalising this also does not make the Finance Commission redundant. The role of Finance Commission then would be restricted to horizontal allocation of resources.  </w:t>
      </w:r>
      <w:r>
        <w:rPr>
          <w:rFonts w:ascii="Verdana" w:hAnsi="Verdana"/>
        </w:rPr>
        <w:t>Also, this approach is static in nature and cannot take into consideration changes in the resource and expenditure envelopes of both the levels of government and corresponding adjustment needed in vertical share.  Since the mechanism of Finance Commission has worked reasonably well, it is prudent to continue with the existing constitutional provision, which is flex</w:t>
      </w:r>
      <w:r w:rsidR="00A34991">
        <w:rPr>
          <w:rFonts w:ascii="Verdana" w:hAnsi="Verdana"/>
        </w:rPr>
        <w:t xml:space="preserve">ible yet stable and predictable over the medium term.  </w:t>
      </w:r>
    </w:p>
    <w:p w:rsidR="00E440C5" w:rsidRDefault="00E440C5" w:rsidP="009E64F2">
      <w:pPr>
        <w:spacing w:line="480" w:lineRule="auto"/>
        <w:ind w:firstLine="720"/>
        <w:jc w:val="both"/>
        <w:rPr>
          <w:rFonts w:ascii="Verdana" w:hAnsi="Verdana"/>
        </w:rPr>
      </w:pPr>
      <w:r>
        <w:rPr>
          <w:rFonts w:ascii="Verdana" w:hAnsi="Verdana"/>
        </w:rPr>
        <w:lastRenderedPageBreak/>
        <w:t>Secondly, the flow of resources from Centre to States outside the recommendation</w:t>
      </w:r>
      <w:r w:rsidR="00061201">
        <w:rPr>
          <w:rFonts w:ascii="Verdana" w:hAnsi="Verdana"/>
        </w:rPr>
        <w:t>s of the Finance Commission has</w:t>
      </w:r>
      <w:r>
        <w:rPr>
          <w:rFonts w:ascii="Verdana" w:hAnsi="Verdana"/>
        </w:rPr>
        <w:t xml:space="preserve"> been a contentious issue.  The legitimacy of the Planning Commission, the adoption of </w:t>
      </w:r>
      <w:proofErr w:type="spellStart"/>
      <w:r>
        <w:rPr>
          <w:rFonts w:ascii="Verdana" w:hAnsi="Verdana"/>
        </w:rPr>
        <w:t>Gadgil</w:t>
      </w:r>
      <w:proofErr w:type="spellEnd"/>
      <w:r>
        <w:rPr>
          <w:rFonts w:ascii="Verdana" w:hAnsi="Verdana"/>
        </w:rPr>
        <w:t xml:space="preserve"> formula, the modifications to such a formula, the increasing role of discretionary grants</w:t>
      </w:r>
      <w:r w:rsidR="004E59A2">
        <w:rPr>
          <w:rFonts w:ascii="Verdana" w:hAnsi="Verdana"/>
        </w:rPr>
        <w:t xml:space="preserve"> and </w:t>
      </w:r>
      <w:r>
        <w:rPr>
          <w:rFonts w:ascii="Verdana" w:hAnsi="Verdana"/>
        </w:rPr>
        <w:t xml:space="preserve">the magnitude of the complexity of the centrally sponsored schemes have been a matter of concern and a source of tension between the Union and the States. </w:t>
      </w:r>
      <w:r w:rsidR="001A5240">
        <w:rPr>
          <w:rFonts w:ascii="Verdana" w:hAnsi="Verdana"/>
        </w:rPr>
        <w:t>In terms of magnitudes</w:t>
      </w:r>
      <w:r>
        <w:rPr>
          <w:rFonts w:ascii="Verdana" w:hAnsi="Verdana"/>
        </w:rPr>
        <w:t xml:space="preserve">, the flow of resources through this route accounts for </w:t>
      </w:r>
      <w:r w:rsidR="006C525D">
        <w:rPr>
          <w:rFonts w:ascii="Verdana" w:hAnsi="Verdana"/>
        </w:rPr>
        <w:t>an</w:t>
      </w:r>
      <w:r>
        <w:rPr>
          <w:rFonts w:ascii="Verdana" w:hAnsi="Verdana"/>
        </w:rPr>
        <w:t xml:space="preserve"> overwhelming part of the transfers by way of grants (and loans in the past).  Despite several suggestions in this regard, including by the </w:t>
      </w:r>
      <w:r w:rsidR="003C3101">
        <w:rPr>
          <w:rFonts w:ascii="Verdana" w:hAnsi="Verdana"/>
        </w:rPr>
        <w:t>XIV</w:t>
      </w:r>
      <w:r>
        <w:rPr>
          <w:rFonts w:ascii="Verdana" w:hAnsi="Verdana"/>
        </w:rPr>
        <w:t xml:space="preserve"> Finance Commission, there has been surprising and inexplicable lack of focus on this real problem of the fiscal federalism.  Way Forward requires attention to institutional arrangements in this regard.  In addition, the redesign of transfers as recommended by Professor Govinda Rao should be the </w:t>
      </w:r>
      <w:r w:rsidR="006C525D">
        <w:rPr>
          <w:rFonts w:ascii="Verdana" w:hAnsi="Verdana"/>
        </w:rPr>
        <w:t>priority.</w:t>
      </w:r>
      <w:r>
        <w:rPr>
          <w:rFonts w:ascii="Verdana" w:hAnsi="Verdana"/>
        </w:rPr>
        <w:t xml:space="preserve">  </w:t>
      </w:r>
    </w:p>
    <w:p w:rsidR="00E440C5" w:rsidRDefault="00E440C5" w:rsidP="00634E4B">
      <w:pPr>
        <w:spacing w:line="480" w:lineRule="auto"/>
        <w:ind w:firstLine="720"/>
        <w:jc w:val="both"/>
        <w:rPr>
          <w:rFonts w:ascii="Verdana" w:hAnsi="Verdana"/>
        </w:rPr>
      </w:pPr>
      <w:r>
        <w:rPr>
          <w:rFonts w:ascii="Verdana" w:hAnsi="Verdana"/>
        </w:rPr>
        <w:t xml:space="preserve">Thirdly, the proposal to </w:t>
      </w:r>
      <w:r w:rsidR="009D14D4">
        <w:rPr>
          <w:rFonts w:ascii="Verdana" w:hAnsi="Verdana"/>
        </w:rPr>
        <w:t xml:space="preserve">have continuity in Finance Commission has a potential for merging the functions of sharing of taxes and Grants-in-Aid too closely for comfort.  </w:t>
      </w:r>
      <w:r>
        <w:rPr>
          <w:rFonts w:ascii="Verdana" w:hAnsi="Verdana"/>
        </w:rPr>
        <w:t xml:space="preserve">There is a need for an appropriate mix of stability and predictability on one hand, and flexibility and political bargaining on the other.  The present arrangement of </w:t>
      </w:r>
      <w:proofErr w:type="gramStart"/>
      <w:r>
        <w:rPr>
          <w:rFonts w:ascii="Verdana" w:hAnsi="Verdana"/>
        </w:rPr>
        <w:t>Constitutionally</w:t>
      </w:r>
      <w:proofErr w:type="gramEnd"/>
      <w:r>
        <w:rPr>
          <w:rFonts w:ascii="Verdana" w:hAnsi="Verdana"/>
        </w:rPr>
        <w:t xml:space="preserve"> determining stability and predictability through Finance Commission</w:t>
      </w:r>
      <w:r w:rsidR="004E59A2">
        <w:rPr>
          <w:rFonts w:ascii="Verdana" w:hAnsi="Verdana"/>
        </w:rPr>
        <w:t>s</w:t>
      </w:r>
      <w:r>
        <w:rPr>
          <w:rFonts w:ascii="Verdana" w:hAnsi="Verdana"/>
        </w:rPr>
        <w:t xml:space="preserve"> </w:t>
      </w:r>
      <w:r w:rsidR="00634E4B">
        <w:rPr>
          <w:rFonts w:ascii="Verdana" w:hAnsi="Verdana"/>
        </w:rPr>
        <w:t xml:space="preserve">periodically </w:t>
      </w:r>
      <w:r>
        <w:rPr>
          <w:rFonts w:ascii="Verdana" w:hAnsi="Verdana"/>
        </w:rPr>
        <w:t xml:space="preserve">and leaving flexibility and continuity to the elected Government appears theoretically sound and proven to be successful.  The real issue now relates to institutional vacuum as far as the transfers outside the Finance Commission are concerned.  </w:t>
      </w:r>
    </w:p>
    <w:p w:rsidR="00E440C5" w:rsidRDefault="00E440C5" w:rsidP="00E440C5">
      <w:pPr>
        <w:spacing w:line="480" w:lineRule="auto"/>
        <w:ind w:firstLine="720"/>
        <w:jc w:val="both"/>
        <w:rPr>
          <w:rFonts w:ascii="Verdana" w:hAnsi="Verdana"/>
        </w:rPr>
      </w:pPr>
      <w:r>
        <w:rPr>
          <w:rFonts w:ascii="Verdana" w:hAnsi="Verdana"/>
        </w:rPr>
        <w:t xml:space="preserve">Fourthly, there is an avoidable diversion into the transfers to local bodies in the discussion on fiscal federalism.  Structurally, the Constitution assigns </w:t>
      </w:r>
      <w:r>
        <w:rPr>
          <w:rFonts w:ascii="Verdana" w:hAnsi="Verdana"/>
        </w:rPr>
        <w:lastRenderedPageBreak/>
        <w:t>responsibilities and resources to States and the Centre</w:t>
      </w:r>
      <w:r w:rsidR="000363C6">
        <w:rPr>
          <w:rFonts w:ascii="Verdana" w:hAnsi="Verdana"/>
        </w:rPr>
        <w:t>,</w:t>
      </w:r>
      <w:r>
        <w:rPr>
          <w:rFonts w:ascii="Verdana" w:hAnsi="Verdana"/>
        </w:rPr>
        <w:t xml:space="preserve"> </w:t>
      </w:r>
      <w:r w:rsidR="000363C6">
        <w:rPr>
          <w:rFonts w:ascii="Verdana" w:hAnsi="Verdana"/>
        </w:rPr>
        <w:t>and local bodies are squarely</w:t>
      </w:r>
      <w:r>
        <w:rPr>
          <w:rFonts w:ascii="Verdana" w:hAnsi="Verdana"/>
        </w:rPr>
        <w:t xml:space="preserve"> </w:t>
      </w:r>
      <w:r w:rsidR="000363C6">
        <w:rPr>
          <w:rFonts w:ascii="Verdana" w:hAnsi="Verdana"/>
        </w:rPr>
        <w:t xml:space="preserve">in the domain of States. </w:t>
      </w:r>
      <w:r>
        <w:rPr>
          <w:rFonts w:ascii="Verdana" w:hAnsi="Verdana"/>
        </w:rPr>
        <w:t xml:space="preserve"> The local bodies are created or not created by the State Governments.  Therefore, economists and public intellectuals should approach the State Governments and convince them to strengthen local bodies rather than address their concerns to the Union Government o</w:t>
      </w:r>
      <w:r w:rsidR="00632D7C">
        <w:rPr>
          <w:rFonts w:ascii="Verdana" w:hAnsi="Verdana"/>
        </w:rPr>
        <w:t>r Finance Commissions.  Further</w:t>
      </w:r>
      <w:r>
        <w:rPr>
          <w:rFonts w:ascii="Verdana" w:hAnsi="Verdana"/>
        </w:rPr>
        <w:t xml:space="preserve">, </w:t>
      </w:r>
      <w:proofErr w:type="gramStart"/>
      <w:r>
        <w:rPr>
          <w:rFonts w:ascii="Verdana" w:hAnsi="Verdana"/>
        </w:rPr>
        <w:t>attempts to use the Finance Commission to foster decentralisation with conditionalities has</w:t>
      </w:r>
      <w:proofErr w:type="gramEnd"/>
      <w:r>
        <w:rPr>
          <w:rFonts w:ascii="Verdana" w:hAnsi="Verdana"/>
        </w:rPr>
        <w:t xml:space="preserve"> a tendency to erode the trust of the States in the role of the Finance Commission as an arbitrator between the Union and the States.  Finally, the extent of decentralisation by different States is a reflection of the sensitive political process and not a matter in which the Finance Commission can claim expertise.  </w:t>
      </w:r>
    </w:p>
    <w:p w:rsidR="00E440C5" w:rsidRDefault="00E440C5" w:rsidP="00E440C5">
      <w:pPr>
        <w:spacing w:line="480" w:lineRule="auto"/>
        <w:ind w:firstLine="720"/>
        <w:jc w:val="both"/>
        <w:rPr>
          <w:rFonts w:ascii="Verdana" w:hAnsi="Verdana"/>
        </w:rPr>
      </w:pPr>
      <w:r>
        <w:rPr>
          <w:rFonts w:ascii="Verdana" w:hAnsi="Verdana"/>
        </w:rPr>
        <w:t>It is necessary to distinguish between fiscal and developmental imbalances.  Fiscal imbalances on revenue account should be the concern as per origin</w:t>
      </w:r>
      <w:r w:rsidR="006F5CD8">
        <w:rPr>
          <w:rFonts w:ascii="Verdana" w:hAnsi="Verdana"/>
        </w:rPr>
        <w:t xml:space="preserve">al design and current practice.  </w:t>
      </w:r>
      <w:r>
        <w:rPr>
          <w:rFonts w:ascii="Verdana" w:hAnsi="Verdana"/>
        </w:rPr>
        <w:t>If equal weight is given to efficiency and equity in devolution, with equal respect to Dr. Kelkar and Dr. Subramanian, they may neutralise each other.  Balancing</w:t>
      </w:r>
      <w:r w:rsidR="006F5CD8">
        <w:rPr>
          <w:rFonts w:ascii="Verdana" w:hAnsi="Verdana"/>
        </w:rPr>
        <w:t xml:space="preserve"> the competing considerations</w:t>
      </w:r>
      <w:r>
        <w:rPr>
          <w:rFonts w:ascii="Verdana" w:hAnsi="Verdana"/>
        </w:rPr>
        <w:t xml:space="preserve"> is the name of the game and Finance Commissions till now have done it well and in a progressive manner.  The record of transfers outside the Finance Commission by the U</w:t>
      </w:r>
      <w:r w:rsidR="0011373A">
        <w:rPr>
          <w:rFonts w:ascii="Verdana" w:hAnsi="Verdana"/>
        </w:rPr>
        <w:t>nion Government in the past has</w:t>
      </w:r>
      <w:r>
        <w:rPr>
          <w:rFonts w:ascii="Verdana" w:hAnsi="Verdana"/>
        </w:rPr>
        <w:t xml:space="preserve"> been regressive and with questionable success.  These are the transfers that deserve attention.  The transfers outside the Finance Commission's </w:t>
      </w:r>
      <w:r w:rsidR="006C525D">
        <w:rPr>
          <w:rFonts w:ascii="Verdana" w:hAnsi="Verdana"/>
        </w:rPr>
        <w:t>recommendations could</w:t>
      </w:r>
      <w:r>
        <w:rPr>
          <w:rFonts w:ascii="Verdana" w:hAnsi="Verdana"/>
        </w:rPr>
        <w:t xml:space="preserve"> play a legitimate role in regard to development dimension provided appropriate fiscal space could be identified for the purpose without adversely affecting the States and an </w:t>
      </w:r>
      <w:r w:rsidR="006C525D">
        <w:rPr>
          <w:rFonts w:ascii="Verdana" w:hAnsi="Verdana"/>
        </w:rPr>
        <w:t>appropriate institutional</w:t>
      </w:r>
      <w:r>
        <w:rPr>
          <w:rFonts w:ascii="Verdana" w:hAnsi="Verdana"/>
        </w:rPr>
        <w:t xml:space="preserve"> arrangement is made for such transfers.  </w:t>
      </w:r>
    </w:p>
    <w:p w:rsidR="00E440C5" w:rsidRDefault="00E440C5" w:rsidP="00E440C5">
      <w:pPr>
        <w:spacing w:line="480" w:lineRule="auto"/>
        <w:ind w:firstLine="720"/>
        <w:jc w:val="both"/>
        <w:rPr>
          <w:rFonts w:ascii="Verdana" w:hAnsi="Verdana"/>
        </w:rPr>
      </w:pPr>
      <w:r>
        <w:rPr>
          <w:rFonts w:ascii="Verdana" w:hAnsi="Verdana"/>
        </w:rPr>
        <w:lastRenderedPageBreak/>
        <w:t xml:space="preserve">To conclude, the Way Forward is best summed up in a recent book on Indian Fiscal Federalism. </w:t>
      </w:r>
    </w:p>
    <w:p w:rsidR="00E440C5" w:rsidRDefault="00E440C5" w:rsidP="00E440C5">
      <w:pPr>
        <w:spacing w:line="480" w:lineRule="auto"/>
        <w:jc w:val="both"/>
        <w:rPr>
          <w:rFonts w:ascii="Verdana" w:hAnsi="Verdana"/>
          <w:i/>
        </w:rPr>
      </w:pPr>
      <w:r>
        <w:rPr>
          <w:rFonts w:ascii="Verdana" w:hAnsi="Verdana"/>
          <w:i/>
        </w:rPr>
        <w:tab/>
        <w:t xml:space="preserve">In brief, wisdom lies in refocusing the scope of the Finance Commission to maintain the trust of all stakeholders in the institution as a pillar of fiscal federalism.  To fill the existing institutional vacuum for other Central transfers to States and related matters, it is necessary to reinvent NITI Aayog.  This organisation should be endowed with appropriate stature and expertise and have the benefit of Constitutional legitimacy, possibly by linking it to the </w:t>
      </w:r>
      <w:proofErr w:type="spellStart"/>
      <w:r>
        <w:rPr>
          <w:rFonts w:ascii="Verdana" w:hAnsi="Verdana"/>
          <w:i/>
        </w:rPr>
        <w:t>ISC</w:t>
      </w:r>
      <w:proofErr w:type="spellEnd"/>
      <w:r>
        <w:rPr>
          <w:rFonts w:ascii="Verdana" w:hAnsi="Verdana"/>
          <w:i/>
        </w:rPr>
        <w:t xml:space="preserve">. </w:t>
      </w:r>
    </w:p>
    <w:p w:rsidR="00E440C5" w:rsidRDefault="00E440C5" w:rsidP="00E440C5">
      <w:pPr>
        <w:spacing w:line="480" w:lineRule="auto"/>
        <w:jc w:val="both"/>
        <w:rPr>
          <w:rFonts w:ascii="Verdana" w:hAnsi="Verdana"/>
        </w:rPr>
      </w:pPr>
      <w:r>
        <w:rPr>
          <w:rFonts w:ascii="Verdana" w:hAnsi="Verdana"/>
          <w:i/>
        </w:rPr>
        <w:tab/>
        <w:t>It should be recognised that the dominant objective of federal transfers is moderating the fiscal-capacity differential across States to provide comparable levels of public services at comparable levels of taxation.  The complex issue of reducing inequalities in development among States should be addressed by the cooperative efforts of both Union and the States on several policy fronts as this should be a matter of national concern</w:t>
      </w:r>
      <w:proofErr w:type="gramStart"/>
      <w:r>
        <w:rPr>
          <w:rFonts w:ascii="Verdana" w:hAnsi="Verdana"/>
          <w:i/>
        </w:rPr>
        <w:t>.</w:t>
      </w:r>
      <w:r>
        <w:rPr>
          <w:rFonts w:ascii="Verdana" w:hAnsi="Verdana"/>
        </w:rPr>
        <w:t>[</w:t>
      </w:r>
      <w:proofErr w:type="gramEnd"/>
      <w:r>
        <w:rPr>
          <w:rFonts w:ascii="Verdana" w:hAnsi="Verdana"/>
        </w:rPr>
        <w:t xml:space="preserve">pp. 165 of Indian Fiscal Federalism].  </w:t>
      </w:r>
    </w:p>
    <w:p w:rsidR="00930371" w:rsidRDefault="00930371" w:rsidP="00990E90">
      <w:pPr>
        <w:spacing w:line="480" w:lineRule="auto"/>
        <w:ind w:firstLine="720"/>
        <w:jc w:val="both"/>
        <w:rPr>
          <w:rFonts w:ascii="Verdana" w:hAnsi="Verdana"/>
        </w:rPr>
      </w:pPr>
    </w:p>
    <w:p w:rsidR="00281BC6" w:rsidRDefault="00281BC6" w:rsidP="00990E90">
      <w:pPr>
        <w:spacing w:line="480" w:lineRule="auto"/>
        <w:ind w:firstLine="720"/>
        <w:jc w:val="both"/>
        <w:rPr>
          <w:rFonts w:ascii="Verdana" w:hAnsi="Verdana"/>
        </w:rPr>
      </w:pPr>
    </w:p>
    <w:p w:rsidR="00281BC6" w:rsidRDefault="00281BC6" w:rsidP="00990E90">
      <w:pPr>
        <w:spacing w:line="480" w:lineRule="auto"/>
        <w:ind w:firstLine="720"/>
        <w:jc w:val="both"/>
        <w:rPr>
          <w:rFonts w:ascii="Verdana" w:hAnsi="Verdana"/>
        </w:rPr>
      </w:pPr>
    </w:p>
    <w:p w:rsidR="00281BC6" w:rsidRDefault="00281BC6" w:rsidP="00990E90">
      <w:pPr>
        <w:spacing w:line="480" w:lineRule="auto"/>
        <w:ind w:firstLine="720"/>
        <w:jc w:val="both"/>
        <w:rPr>
          <w:rFonts w:ascii="Verdana" w:hAnsi="Verdana"/>
        </w:rPr>
      </w:pPr>
    </w:p>
    <w:p w:rsidR="00281BC6" w:rsidRDefault="00281BC6" w:rsidP="00990E90">
      <w:pPr>
        <w:spacing w:line="480" w:lineRule="auto"/>
        <w:ind w:firstLine="720"/>
        <w:jc w:val="both"/>
        <w:rPr>
          <w:rFonts w:ascii="Verdana" w:hAnsi="Verdana"/>
        </w:rPr>
      </w:pPr>
    </w:p>
    <w:p w:rsidR="00281BC6" w:rsidRPr="00F45CBE" w:rsidRDefault="00281BC6" w:rsidP="00281BC6">
      <w:pPr>
        <w:spacing w:line="480" w:lineRule="auto"/>
        <w:jc w:val="both"/>
        <w:rPr>
          <w:rFonts w:ascii="Verdana" w:hAnsi="Verdana"/>
          <w:b/>
        </w:rPr>
      </w:pPr>
      <w:r w:rsidRPr="00F45CBE">
        <w:rPr>
          <w:rFonts w:ascii="Verdana" w:hAnsi="Verdana"/>
          <w:b/>
        </w:rPr>
        <w:t>Select References:</w:t>
      </w:r>
    </w:p>
    <w:p w:rsidR="00281BC6" w:rsidRDefault="00281BC6" w:rsidP="00281BC6">
      <w:pPr>
        <w:jc w:val="both"/>
        <w:rPr>
          <w:rFonts w:ascii="Verdana" w:hAnsi="Verdana"/>
        </w:rPr>
      </w:pPr>
      <w:proofErr w:type="spellStart"/>
      <w:proofErr w:type="gramStart"/>
      <w:r>
        <w:rPr>
          <w:rFonts w:ascii="Verdana" w:hAnsi="Verdana"/>
        </w:rPr>
        <w:t>Bhaskar</w:t>
      </w:r>
      <w:proofErr w:type="spellEnd"/>
      <w:r>
        <w:rPr>
          <w:rFonts w:ascii="Verdana" w:hAnsi="Verdana"/>
        </w:rPr>
        <w:t>,</w:t>
      </w:r>
      <w:r w:rsidR="00D467E6">
        <w:rPr>
          <w:rFonts w:ascii="Verdana" w:hAnsi="Verdana"/>
        </w:rPr>
        <w:t xml:space="preserve"> </w:t>
      </w:r>
      <w:r>
        <w:rPr>
          <w:rFonts w:ascii="Verdana" w:hAnsi="Verdana"/>
        </w:rPr>
        <w:t xml:space="preserve">V 2019, </w:t>
      </w:r>
      <w:r w:rsidRPr="00134FAE">
        <w:rPr>
          <w:rFonts w:ascii="Verdana" w:hAnsi="Verdana"/>
          <w:i/>
        </w:rPr>
        <w:t xml:space="preserve">'GST revenue conceals more than it </w:t>
      </w:r>
      <w:proofErr w:type="spellStart"/>
      <w:r w:rsidRPr="00134FAE">
        <w:rPr>
          <w:rFonts w:ascii="Verdana" w:hAnsi="Verdana"/>
          <w:i/>
        </w:rPr>
        <w:t>reveals</w:t>
      </w:r>
      <w:r>
        <w:rPr>
          <w:rFonts w:ascii="Verdana" w:hAnsi="Verdana"/>
          <w:i/>
        </w:rPr>
        <w:t>,</w:t>
      </w:r>
      <w:r w:rsidRPr="00134FAE">
        <w:rPr>
          <w:rFonts w:ascii="Verdana" w:hAnsi="Verdana"/>
          <w:i/>
        </w:rPr>
        <w:t>'</w:t>
      </w:r>
      <w:r>
        <w:rPr>
          <w:rFonts w:ascii="Verdana" w:hAnsi="Verdana"/>
        </w:rPr>
        <w:t>Business</w:t>
      </w:r>
      <w:proofErr w:type="spellEnd"/>
      <w:r>
        <w:rPr>
          <w:rFonts w:ascii="Verdana" w:hAnsi="Verdana"/>
        </w:rPr>
        <w:t xml:space="preserve"> Standard, March 6.</w:t>
      </w:r>
      <w:proofErr w:type="gramEnd"/>
    </w:p>
    <w:p w:rsidR="00281BC6" w:rsidRDefault="00281BC6" w:rsidP="00281BC6">
      <w:pPr>
        <w:spacing w:after="188"/>
        <w:textAlignment w:val="baseline"/>
        <w:outlineLvl w:val="0"/>
        <w:rPr>
          <w:rFonts w:ascii="Verdana" w:eastAsia="Times New Roman" w:hAnsi="Verdana" w:cs="Arial"/>
          <w:bCs/>
          <w:color w:val="000000"/>
          <w:spacing w:val="-5"/>
          <w:kern w:val="36"/>
        </w:rPr>
      </w:pPr>
      <w:r>
        <w:rPr>
          <w:rFonts w:ascii="Verdana" w:hAnsi="Verdana"/>
        </w:rPr>
        <w:lastRenderedPageBreak/>
        <w:t>Chakraborty,</w:t>
      </w:r>
      <w:r w:rsidR="00D467E6">
        <w:rPr>
          <w:rFonts w:ascii="Verdana" w:hAnsi="Verdana"/>
        </w:rPr>
        <w:t xml:space="preserve"> </w:t>
      </w:r>
      <w:r>
        <w:rPr>
          <w:rFonts w:ascii="Verdana" w:hAnsi="Verdana"/>
        </w:rPr>
        <w:t>Pinaki 2018, '</w:t>
      </w:r>
      <w:r w:rsidRPr="00FF1DC4">
        <w:rPr>
          <w:rFonts w:ascii="Arial" w:eastAsia="Times New Roman" w:hAnsi="Arial" w:cs="Arial"/>
          <w:b/>
          <w:bCs/>
          <w:color w:val="000000"/>
          <w:spacing w:val="-5"/>
          <w:kern w:val="36"/>
          <w:sz w:val="45"/>
          <w:szCs w:val="45"/>
        </w:rPr>
        <w:t xml:space="preserve"> </w:t>
      </w:r>
      <w:r w:rsidRPr="00134FAE">
        <w:rPr>
          <w:rFonts w:ascii="Verdana" w:eastAsia="Times New Roman" w:hAnsi="Verdana" w:cs="Arial"/>
          <w:bCs/>
          <w:i/>
          <w:color w:val="000000"/>
          <w:spacing w:val="-5"/>
          <w:kern w:val="36"/>
        </w:rPr>
        <w:t xml:space="preserve">Finance Commission Transfers: The Subramanian formula </w:t>
      </w:r>
      <w:bookmarkStart w:id="0" w:name="_GoBack"/>
      <w:bookmarkEnd w:id="0"/>
      <w:r w:rsidRPr="00134FAE">
        <w:rPr>
          <w:rFonts w:ascii="Verdana" w:eastAsia="Times New Roman" w:hAnsi="Verdana" w:cs="Arial"/>
          <w:bCs/>
          <w:i/>
          <w:color w:val="000000"/>
          <w:spacing w:val="-5"/>
          <w:kern w:val="36"/>
        </w:rPr>
        <w:t>is flawed</w:t>
      </w:r>
      <w:r>
        <w:rPr>
          <w:rFonts w:ascii="Verdana" w:eastAsia="Times New Roman" w:hAnsi="Verdana" w:cs="Arial"/>
          <w:bCs/>
          <w:i/>
          <w:color w:val="000000"/>
          <w:spacing w:val="-5"/>
          <w:kern w:val="36"/>
        </w:rPr>
        <w:t>,'</w:t>
      </w:r>
      <w:r>
        <w:rPr>
          <w:rFonts w:ascii="Verdana" w:eastAsia="Times New Roman" w:hAnsi="Verdana" w:cs="Arial"/>
          <w:bCs/>
          <w:color w:val="000000"/>
          <w:spacing w:val="-5"/>
          <w:kern w:val="36"/>
        </w:rPr>
        <w:t xml:space="preserve"> Financial Express, August 14.</w:t>
      </w:r>
    </w:p>
    <w:p w:rsidR="00281BC6" w:rsidRPr="00C52D69" w:rsidRDefault="00281BC6" w:rsidP="00281BC6">
      <w:pPr>
        <w:jc w:val="both"/>
        <w:rPr>
          <w:rFonts w:ascii="Verdana" w:hAnsi="Verdana"/>
        </w:rPr>
      </w:pPr>
      <w:r>
        <w:rPr>
          <w:rFonts w:ascii="Verdana" w:hAnsi="Verdana"/>
        </w:rPr>
        <w:t xml:space="preserve">Das, </w:t>
      </w:r>
      <w:proofErr w:type="spellStart"/>
      <w:r>
        <w:rPr>
          <w:rFonts w:ascii="Verdana" w:hAnsi="Verdana"/>
        </w:rPr>
        <w:t>Shakikanta</w:t>
      </w:r>
      <w:proofErr w:type="spellEnd"/>
      <w:r>
        <w:rPr>
          <w:rFonts w:ascii="Verdana" w:hAnsi="Verdana"/>
        </w:rPr>
        <w:t xml:space="preserve"> 2019, '</w:t>
      </w:r>
      <w:r>
        <w:rPr>
          <w:rFonts w:ascii="Verdana" w:hAnsi="Verdana"/>
          <w:i/>
        </w:rPr>
        <w:t>Some Thoughts on Fiscal Federalism,'</w:t>
      </w:r>
      <w:r>
        <w:rPr>
          <w:rFonts w:ascii="Verdana" w:hAnsi="Verdana"/>
        </w:rPr>
        <w:t xml:space="preserve"> Lecture delivered at the launch of the book, </w:t>
      </w:r>
      <w:r w:rsidRPr="00134FAE">
        <w:rPr>
          <w:rFonts w:ascii="Verdana" w:hAnsi="Verdana"/>
          <w:i/>
        </w:rPr>
        <w:t xml:space="preserve">'Indian Fiscal </w:t>
      </w:r>
      <w:r>
        <w:rPr>
          <w:rFonts w:ascii="Verdana" w:hAnsi="Verdana"/>
          <w:i/>
        </w:rPr>
        <w:t>F</w:t>
      </w:r>
      <w:r w:rsidRPr="00134FAE">
        <w:rPr>
          <w:rFonts w:ascii="Verdana" w:hAnsi="Verdana"/>
          <w:i/>
        </w:rPr>
        <w:t>e</w:t>
      </w:r>
      <w:r>
        <w:rPr>
          <w:rFonts w:ascii="Verdana" w:hAnsi="Verdana"/>
          <w:i/>
        </w:rPr>
        <w:t>d</w:t>
      </w:r>
      <w:r w:rsidRPr="00134FAE">
        <w:rPr>
          <w:rFonts w:ascii="Verdana" w:hAnsi="Verdana"/>
          <w:i/>
        </w:rPr>
        <w:t>eralism'</w:t>
      </w:r>
      <w:r w:rsidR="00D467E6">
        <w:rPr>
          <w:rFonts w:ascii="Verdana" w:hAnsi="Verdana"/>
          <w:i/>
        </w:rPr>
        <w:t xml:space="preserve">, </w:t>
      </w:r>
      <w:r>
        <w:rPr>
          <w:rFonts w:ascii="Verdana" w:hAnsi="Verdana"/>
          <w:i/>
        </w:rPr>
        <w:t>Mumbai, March 19.</w:t>
      </w:r>
      <w:r w:rsidR="00C52D69">
        <w:rPr>
          <w:rFonts w:ascii="Verdana" w:hAnsi="Verdana"/>
          <w:i/>
        </w:rPr>
        <w:t xml:space="preserve"> </w:t>
      </w:r>
      <w:proofErr w:type="gramStart"/>
      <w:r w:rsidR="00C52D69">
        <w:rPr>
          <w:rFonts w:ascii="Verdana" w:hAnsi="Verdana"/>
        </w:rPr>
        <w:t>(Available on RBI website).</w:t>
      </w:r>
      <w:proofErr w:type="gramEnd"/>
      <w:r w:rsidR="00C52D69">
        <w:rPr>
          <w:rFonts w:ascii="Verdana" w:hAnsi="Verdana"/>
        </w:rPr>
        <w:t xml:space="preserve">  </w:t>
      </w:r>
    </w:p>
    <w:p w:rsidR="0017607A" w:rsidRDefault="0017607A" w:rsidP="0017607A">
      <w:pPr>
        <w:shd w:val="clear" w:color="auto" w:fill="FFFFFF"/>
        <w:spacing w:after="0" w:line="240" w:lineRule="auto"/>
        <w:rPr>
          <w:rFonts w:ascii="Arial" w:eastAsia="Times New Roman" w:hAnsi="Arial" w:cs="Arial"/>
          <w:color w:val="222222"/>
          <w:sz w:val="24"/>
          <w:szCs w:val="24"/>
          <w:lang w:val="en-US"/>
        </w:rPr>
      </w:pPr>
      <w:proofErr w:type="spellStart"/>
      <w:r w:rsidRPr="0017607A">
        <w:rPr>
          <w:rFonts w:ascii="Arial" w:eastAsia="Times New Roman" w:hAnsi="Arial" w:cs="Arial"/>
          <w:color w:val="222222"/>
          <w:sz w:val="24"/>
          <w:szCs w:val="24"/>
          <w:lang w:val="en-US"/>
        </w:rPr>
        <w:t>Issac</w:t>
      </w:r>
      <w:proofErr w:type="spellEnd"/>
      <w:r w:rsidRPr="0017607A">
        <w:rPr>
          <w:rFonts w:ascii="Arial" w:eastAsia="Times New Roman" w:hAnsi="Arial" w:cs="Arial"/>
          <w:color w:val="222222"/>
          <w:sz w:val="24"/>
          <w:szCs w:val="24"/>
          <w:lang w:val="en-US"/>
        </w:rPr>
        <w:t xml:space="preserve">, Thomas, Mohan R and </w:t>
      </w:r>
      <w:proofErr w:type="spellStart"/>
      <w:r w:rsidRPr="0017607A">
        <w:rPr>
          <w:rFonts w:ascii="Arial" w:eastAsia="Times New Roman" w:hAnsi="Arial" w:cs="Arial"/>
          <w:color w:val="222222"/>
          <w:sz w:val="24"/>
          <w:szCs w:val="24"/>
          <w:lang w:val="en-US"/>
        </w:rPr>
        <w:t>Chakrrabory</w:t>
      </w:r>
      <w:proofErr w:type="spellEnd"/>
      <w:r w:rsidRPr="0017607A">
        <w:rPr>
          <w:rFonts w:ascii="Arial" w:eastAsia="Times New Roman" w:hAnsi="Arial" w:cs="Arial"/>
          <w:color w:val="222222"/>
          <w:sz w:val="24"/>
          <w:szCs w:val="24"/>
          <w:lang w:val="en-US"/>
        </w:rPr>
        <w:t xml:space="preserve"> Lekha (2019), </w:t>
      </w:r>
      <w:r w:rsidRPr="0017607A">
        <w:rPr>
          <w:rFonts w:ascii="Arial" w:eastAsia="Times New Roman" w:hAnsi="Arial" w:cs="Arial"/>
          <w:i/>
          <w:color w:val="222222"/>
          <w:sz w:val="24"/>
          <w:szCs w:val="24"/>
          <w:lang w:val="en-US"/>
        </w:rPr>
        <w:t>"Challenges to Indian Fiscal Federalism,'</w:t>
      </w:r>
      <w:r>
        <w:rPr>
          <w:rFonts w:ascii="Arial" w:eastAsia="Times New Roman" w:hAnsi="Arial" w:cs="Arial"/>
          <w:color w:val="222222"/>
          <w:sz w:val="24"/>
          <w:szCs w:val="24"/>
          <w:lang w:val="en-US"/>
        </w:rPr>
        <w:t xml:space="preserve"> </w:t>
      </w:r>
      <w:r w:rsidRPr="0017607A">
        <w:rPr>
          <w:rFonts w:ascii="Arial" w:eastAsia="Times New Roman" w:hAnsi="Arial" w:cs="Arial"/>
          <w:color w:val="222222"/>
          <w:sz w:val="24"/>
          <w:szCs w:val="24"/>
          <w:lang w:val="en-US"/>
        </w:rPr>
        <w:t>Economic and Political Weekly, Vol.VIV No.9, March 2.</w:t>
      </w:r>
    </w:p>
    <w:p w:rsidR="005E4DB2" w:rsidRPr="0017607A" w:rsidRDefault="005E4DB2" w:rsidP="0017607A">
      <w:pPr>
        <w:shd w:val="clear" w:color="auto" w:fill="FFFFFF"/>
        <w:spacing w:after="0" w:line="240" w:lineRule="auto"/>
        <w:rPr>
          <w:rFonts w:ascii="Arial" w:eastAsia="Times New Roman" w:hAnsi="Arial" w:cs="Arial"/>
          <w:color w:val="222222"/>
          <w:sz w:val="24"/>
          <w:szCs w:val="24"/>
          <w:lang w:val="en-US"/>
        </w:rPr>
      </w:pPr>
    </w:p>
    <w:p w:rsidR="0058085C" w:rsidRPr="00EE30F3" w:rsidRDefault="00281BC6" w:rsidP="00281BC6">
      <w:pPr>
        <w:jc w:val="both"/>
        <w:rPr>
          <w:rFonts w:ascii="Verdana" w:hAnsi="Verdana"/>
        </w:rPr>
      </w:pPr>
      <w:proofErr w:type="gramStart"/>
      <w:r>
        <w:rPr>
          <w:rFonts w:ascii="Verdana" w:hAnsi="Verdana"/>
        </w:rPr>
        <w:t>Kelkar, Vijay 2019.</w:t>
      </w:r>
      <w:proofErr w:type="gramEnd"/>
      <w:r>
        <w:rPr>
          <w:rFonts w:ascii="Verdana" w:hAnsi="Verdana"/>
        </w:rPr>
        <w:t xml:space="preserve"> </w:t>
      </w:r>
      <w:r w:rsidRPr="00134FAE">
        <w:rPr>
          <w:rFonts w:ascii="Verdana" w:hAnsi="Verdana"/>
          <w:i/>
        </w:rPr>
        <w:t>'Towards India's New Fiscal Federalism'</w:t>
      </w:r>
      <w:r w:rsidR="0058085C">
        <w:rPr>
          <w:rFonts w:ascii="Verdana" w:hAnsi="Verdana"/>
        </w:rPr>
        <w:t>,</w:t>
      </w:r>
      <w:r>
        <w:rPr>
          <w:rFonts w:ascii="Verdana" w:hAnsi="Verdana"/>
          <w:i/>
        </w:rPr>
        <w:t xml:space="preserve"> </w:t>
      </w:r>
      <w:r w:rsidRPr="00134FAE">
        <w:rPr>
          <w:rFonts w:ascii="Verdana" w:hAnsi="Verdana"/>
        </w:rPr>
        <w:t xml:space="preserve">Prof. </w:t>
      </w:r>
      <w:proofErr w:type="spellStart"/>
      <w:r w:rsidRPr="00134FAE">
        <w:rPr>
          <w:rFonts w:ascii="Verdana" w:hAnsi="Verdana"/>
        </w:rPr>
        <w:t>Sukhamoy</w:t>
      </w:r>
      <w:proofErr w:type="spellEnd"/>
      <w:r w:rsidRPr="00134FAE">
        <w:rPr>
          <w:rFonts w:ascii="Verdana" w:hAnsi="Verdana"/>
        </w:rPr>
        <w:t xml:space="preserve"> </w:t>
      </w:r>
      <w:proofErr w:type="spellStart"/>
      <w:r w:rsidRPr="00134FAE">
        <w:rPr>
          <w:rFonts w:ascii="Verdana" w:hAnsi="Verdana"/>
        </w:rPr>
        <w:t>Chakravarty</w:t>
      </w:r>
      <w:proofErr w:type="spellEnd"/>
      <w:r w:rsidRPr="00134FAE">
        <w:rPr>
          <w:rFonts w:ascii="Verdana" w:hAnsi="Verdana"/>
        </w:rPr>
        <w:t xml:space="preserve"> Memorial </w:t>
      </w:r>
      <w:r w:rsidR="006C525D" w:rsidRPr="00134FAE">
        <w:rPr>
          <w:rFonts w:ascii="Verdana" w:hAnsi="Verdana"/>
        </w:rPr>
        <w:t>Lecture</w:t>
      </w:r>
      <w:r>
        <w:rPr>
          <w:rFonts w:ascii="Verdana" w:hAnsi="Verdana"/>
        </w:rPr>
        <w:t xml:space="preserve"> delivered at</w:t>
      </w:r>
      <w:r w:rsidRPr="00134FAE">
        <w:rPr>
          <w:rFonts w:ascii="Verdana" w:hAnsi="Verdana"/>
        </w:rPr>
        <w:t xml:space="preserve"> </w:t>
      </w:r>
      <w:r w:rsidR="0058085C">
        <w:rPr>
          <w:rFonts w:ascii="Verdana" w:hAnsi="Verdana"/>
        </w:rPr>
        <w:t xml:space="preserve">The </w:t>
      </w:r>
      <w:r w:rsidRPr="00134FAE">
        <w:rPr>
          <w:rFonts w:ascii="Verdana" w:hAnsi="Verdana"/>
        </w:rPr>
        <w:t>Indian Econom</w:t>
      </w:r>
      <w:r>
        <w:rPr>
          <w:rFonts w:ascii="Verdana" w:hAnsi="Verdana"/>
        </w:rPr>
        <w:t>e</w:t>
      </w:r>
      <w:r w:rsidRPr="00134FAE">
        <w:rPr>
          <w:rFonts w:ascii="Verdana" w:hAnsi="Verdana"/>
        </w:rPr>
        <w:t xml:space="preserve">tric Society Conference, </w:t>
      </w:r>
      <w:r w:rsidR="00883917" w:rsidRPr="00883917">
        <w:rPr>
          <w:rFonts w:ascii="Verdana" w:hAnsi="Verdana"/>
          <w:i/>
        </w:rPr>
        <w:t>Journal of Quantitative Economics</w:t>
      </w:r>
      <w:r w:rsidR="0058085C">
        <w:rPr>
          <w:rFonts w:ascii="Verdana" w:hAnsi="Verdana"/>
        </w:rPr>
        <w:t>, Vol. 17 (1), 2019, pp. 237-248.</w:t>
      </w:r>
    </w:p>
    <w:p w:rsidR="00281BC6" w:rsidRDefault="00281BC6" w:rsidP="00281BC6">
      <w:pPr>
        <w:jc w:val="both"/>
        <w:rPr>
          <w:rFonts w:ascii="Verdana" w:hAnsi="Verdana"/>
        </w:rPr>
      </w:pPr>
      <w:r>
        <w:rPr>
          <w:rFonts w:ascii="Verdana" w:hAnsi="Verdana"/>
        </w:rPr>
        <w:t>Rangarajan,</w:t>
      </w:r>
      <w:r w:rsidR="00D467E6">
        <w:rPr>
          <w:rFonts w:ascii="Verdana" w:hAnsi="Verdana"/>
        </w:rPr>
        <w:t xml:space="preserve"> </w:t>
      </w:r>
      <w:r>
        <w:rPr>
          <w:rFonts w:ascii="Verdana" w:hAnsi="Verdana"/>
        </w:rPr>
        <w:t xml:space="preserve">C 2019, 'Remarks at the Launching of the book </w:t>
      </w:r>
      <w:r w:rsidRPr="00134FAE">
        <w:rPr>
          <w:rFonts w:ascii="Verdana" w:hAnsi="Verdana"/>
          <w:i/>
        </w:rPr>
        <w:t>'Indian Fiscal Federalism</w:t>
      </w:r>
      <w:r>
        <w:rPr>
          <w:rFonts w:ascii="Verdana" w:hAnsi="Verdana"/>
        </w:rPr>
        <w:t>,' Madras School of Economics, Chennai, March 8.</w:t>
      </w:r>
      <w:r w:rsidR="005E4DB2">
        <w:rPr>
          <w:rFonts w:ascii="Verdana" w:hAnsi="Verdana"/>
        </w:rPr>
        <w:t xml:space="preserve"> (Personal Notes of the authors).  </w:t>
      </w:r>
    </w:p>
    <w:p w:rsidR="00281BC6" w:rsidRPr="0082295E" w:rsidRDefault="00281BC6" w:rsidP="00281BC6">
      <w:pPr>
        <w:jc w:val="both"/>
        <w:rPr>
          <w:rFonts w:ascii="Verdana" w:hAnsi="Verdana"/>
        </w:rPr>
      </w:pPr>
      <w:r>
        <w:rPr>
          <w:rFonts w:ascii="Verdana" w:hAnsi="Verdana"/>
        </w:rPr>
        <w:t>Rao, M. Govinda 2017, '</w:t>
      </w:r>
      <w:r w:rsidR="003C3101">
        <w:rPr>
          <w:rFonts w:ascii="Verdana" w:hAnsi="Verdana"/>
          <w:i/>
        </w:rPr>
        <w:t>XV</w:t>
      </w:r>
      <w:r>
        <w:rPr>
          <w:rFonts w:ascii="Verdana" w:hAnsi="Verdana"/>
          <w:i/>
        </w:rPr>
        <w:t xml:space="preserve"> Finance Commission: To realise the goals under New India 2022, here is what Centre must remember,</w:t>
      </w:r>
      <w:r>
        <w:rPr>
          <w:rFonts w:ascii="Verdana" w:hAnsi="Verdana"/>
        </w:rPr>
        <w:t xml:space="preserve"> Financial Express, December 5.</w:t>
      </w:r>
    </w:p>
    <w:p w:rsidR="00281BC6" w:rsidRDefault="00281BC6" w:rsidP="00281BC6">
      <w:pPr>
        <w:jc w:val="both"/>
        <w:rPr>
          <w:rFonts w:ascii="Verdana" w:hAnsi="Verdana"/>
        </w:rPr>
      </w:pPr>
      <w:r>
        <w:rPr>
          <w:rFonts w:ascii="Verdana" w:hAnsi="Verdana"/>
        </w:rPr>
        <w:t>Rao, M. Govinda 2019, '</w:t>
      </w:r>
      <w:r>
        <w:rPr>
          <w:rFonts w:ascii="Verdana" w:hAnsi="Verdana"/>
          <w:i/>
        </w:rPr>
        <w:t xml:space="preserve">Redesigning the </w:t>
      </w:r>
      <w:r w:rsidR="006C525D">
        <w:rPr>
          <w:rFonts w:ascii="Verdana" w:hAnsi="Verdana"/>
          <w:i/>
        </w:rPr>
        <w:t>Fiscal</w:t>
      </w:r>
      <w:r>
        <w:rPr>
          <w:rFonts w:ascii="Verdana" w:hAnsi="Verdana"/>
          <w:i/>
        </w:rPr>
        <w:t xml:space="preserve"> Transfers System in </w:t>
      </w:r>
      <w:proofErr w:type="gramStart"/>
      <w:r>
        <w:rPr>
          <w:rFonts w:ascii="Verdana" w:hAnsi="Verdana"/>
          <w:i/>
        </w:rPr>
        <w:t>India,'</w:t>
      </w:r>
      <w:r w:rsidR="00F45CBE">
        <w:rPr>
          <w:rFonts w:ascii="Verdana" w:hAnsi="Verdana"/>
        </w:rPr>
        <w:t>.</w:t>
      </w:r>
      <w:proofErr w:type="gramEnd"/>
    </w:p>
    <w:p w:rsidR="00F45CBE" w:rsidRPr="00F45CBE" w:rsidRDefault="00F45CBE" w:rsidP="00281BC6">
      <w:pPr>
        <w:jc w:val="both"/>
        <w:rPr>
          <w:rFonts w:ascii="Verdana" w:hAnsi="Verdana"/>
        </w:rPr>
      </w:pPr>
      <w:r>
        <w:rPr>
          <w:rFonts w:ascii="Verdana" w:hAnsi="Verdana"/>
        </w:rPr>
        <w:t xml:space="preserve">Reddy, Y.V., </w:t>
      </w:r>
      <w:r w:rsidRPr="0017607A">
        <w:rPr>
          <w:rFonts w:ascii="Verdana" w:hAnsi="Verdana"/>
          <w:i/>
        </w:rPr>
        <w:t>"Inter-State Inequalities – Scope and Limits of Public Policy"</w:t>
      </w:r>
      <w:r>
        <w:rPr>
          <w:rFonts w:ascii="Verdana" w:hAnsi="Verdana"/>
        </w:rPr>
        <w:t>, delivered as Keynote Address at the International Seminar in ho</w:t>
      </w:r>
      <w:r w:rsidR="00FA5C8B">
        <w:rPr>
          <w:rFonts w:ascii="Verdana" w:hAnsi="Verdana"/>
        </w:rPr>
        <w:t>n</w:t>
      </w:r>
      <w:r w:rsidR="00D467E6">
        <w:rPr>
          <w:rFonts w:ascii="Verdana" w:hAnsi="Verdana"/>
        </w:rPr>
        <w:t>o</w:t>
      </w:r>
      <w:r>
        <w:rPr>
          <w:rFonts w:ascii="Verdana" w:hAnsi="Verdana"/>
        </w:rPr>
        <w:t xml:space="preserve">ur of Professor R. </w:t>
      </w:r>
      <w:proofErr w:type="spellStart"/>
      <w:r>
        <w:rPr>
          <w:rFonts w:ascii="Verdana" w:hAnsi="Verdana"/>
        </w:rPr>
        <w:t>Radhakrishna</w:t>
      </w:r>
      <w:proofErr w:type="spellEnd"/>
      <w:r>
        <w:rPr>
          <w:rFonts w:ascii="Verdana" w:hAnsi="Verdana"/>
        </w:rPr>
        <w:t xml:space="preserve"> at CESS in 2018.  </w:t>
      </w:r>
    </w:p>
    <w:p w:rsidR="00281BC6" w:rsidRPr="006D136A" w:rsidRDefault="00281BC6" w:rsidP="00281BC6">
      <w:pPr>
        <w:jc w:val="both"/>
        <w:rPr>
          <w:rFonts w:ascii="Verdana" w:hAnsi="Verdana"/>
        </w:rPr>
      </w:pPr>
      <w:proofErr w:type="gramStart"/>
      <w:r>
        <w:rPr>
          <w:rFonts w:ascii="Verdana" w:hAnsi="Verdana"/>
        </w:rPr>
        <w:t xml:space="preserve">Reddy, Y.V. and Reddy, </w:t>
      </w:r>
      <w:proofErr w:type="spellStart"/>
      <w:r>
        <w:rPr>
          <w:rFonts w:ascii="Verdana" w:hAnsi="Verdana"/>
        </w:rPr>
        <w:t>G.R.</w:t>
      </w:r>
      <w:proofErr w:type="spellEnd"/>
      <w:r>
        <w:rPr>
          <w:rFonts w:ascii="Verdana" w:hAnsi="Verdana"/>
        </w:rPr>
        <w:t xml:space="preserve"> 2019 </w:t>
      </w:r>
      <w:r w:rsidRPr="00134FAE">
        <w:rPr>
          <w:rFonts w:ascii="Verdana" w:hAnsi="Verdana"/>
          <w:i/>
        </w:rPr>
        <w:t>'Indian Fiscal Federalism,</w:t>
      </w:r>
      <w:r>
        <w:rPr>
          <w:rFonts w:ascii="Verdana" w:hAnsi="Verdana"/>
        </w:rPr>
        <w:t xml:space="preserve"> Oxford University Press, New Delhi.</w:t>
      </w:r>
      <w:proofErr w:type="gramEnd"/>
    </w:p>
    <w:p w:rsidR="00281BC6" w:rsidRDefault="00281BC6" w:rsidP="00281BC6">
      <w:pPr>
        <w:jc w:val="both"/>
        <w:rPr>
          <w:rFonts w:ascii="Verdana" w:hAnsi="Verdana"/>
        </w:rPr>
      </w:pPr>
      <w:proofErr w:type="gramStart"/>
      <w:r>
        <w:rPr>
          <w:rFonts w:ascii="Verdana" w:hAnsi="Verdana"/>
        </w:rPr>
        <w:t xml:space="preserve">Subramanian, </w:t>
      </w:r>
      <w:proofErr w:type="spellStart"/>
      <w:r>
        <w:rPr>
          <w:rFonts w:ascii="Verdana" w:hAnsi="Verdana"/>
        </w:rPr>
        <w:t>Arvind</w:t>
      </w:r>
      <w:proofErr w:type="spellEnd"/>
      <w:r>
        <w:rPr>
          <w:rFonts w:ascii="Verdana" w:hAnsi="Verdana"/>
        </w:rPr>
        <w:t xml:space="preserve"> 2018.</w:t>
      </w:r>
      <w:proofErr w:type="gramEnd"/>
      <w:r>
        <w:rPr>
          <w:rFonts w:ascii="Verdana" w:hAnsi="Verdana"/>
        </w:rPr>
        <w:t xml:space="preserve"> '</w:t>
      </w:r>
      <w:r>
        <w:rPr>
          <w:rFonts w:ascii="Verdana" w:hAnsi="Verdana"/>
          <w:i/>
        </w:rPr>
        <w:t>Of Counsel: 'The Challenge of Modi-</w:t>
      </w:r>
      <w:proofErr w:type="spellStart"/>
      <w:r>
        <w:rPr>
          <w:rFonts w:ascii="Verdana" w:hAnsi="Verdana"/>
          <w:i/>
        </w:rPr>
        <w:t>Jatley</w:t>
      </w:r>
      <w:proofErr w:type="spellEnd"/>
      <w:r>
        <w:rPr>
          <w:rFonts w:ascii="Verdana" w:hAnsi="Verdana"/>
          <w:i/>
        </w:rPr>
        <w:t xml:space="preserve"> Economy'</w:t>
      </w:r>
      <w:r w:rsidR="00FA5C8B">
        <w:rPr>
          <w:rFonts w:ascii="Verdana" w:hAnsi="Verdana"/>
        </w:rPr>
        <w:t>,</w:t>
      </w:r>
      <w:r>
        <w:rPr>
          <w:rFonts w:ascii="Verdana" w:hAnsi="Verdana"/>
        </w:rPr>
        <w:t xml:space="preserve"> Penguin Books.</w:t>
      </w:r>
    </w:p>
    <w:p w:rsidR="00281BC6" w:rsidRPr="00B00583" w:rsidRDefault="00281BC6" w:rsidP="00281BC6">
      <w:pPr>
        <w:spacing w:line="480" w:lineRule="auto"/>
        <w:jc w:val="both"/>
        <w:rPr>
          <w:rFonts w:ascii="Verdana" w:hAnsi="Verdana"/>
        </w:rPr>
      </w:pPr>
    </w:p>
    <w:sectPr w:rsidR="00281BC6" w:rsidRPr="00B00583" w:rsidSect="000544FD">
      <w:footerReference w:type="default" r:id="rId8"/>
      <w:pgSz w:w="12240" w:h="15840"/>
      <w:pgMar w:top="1440" w:right="1440" w:bottom="1296"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61289C" w15:done="0"/>
  <w15:commentEx w15:paraId="1C5FB088" w15:done="0"/>
  <w15:commentEx w15:paraId="1E040C4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983" w:rsidRDefault="00DF5983" w:rsidP="00D1053B">
      <w:pPr>
        <w:spacing w:after="0" w:line="240" w:lineRule="auto"/>
      </w:pPr>
      <w:r>
        <w:separator/>
      </w:r>
    </w:p>
  </w:endnote>
  <w:endnote w:type="continuationSeparator" w:id="0">
    <w:p w:rsidR="00DF5983" w:rsidRDefault="00DF5983" w:rsidP="00D10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stoMT-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alatino-Roman">
    <w:panose1 w:val="00000000000000000000"/>
    <w:charset w:val="00"/>
    <w:family w:val="roman"/>
    <w:notTrueType/>
    <w:pitch w:val="default"/>
    <w:sig w:usb0="00000003" w:usb1="00000000" w:usb2="00000000" w:usb3="00000000" w:csb0="00000001" w:csb1="00000000"/>
  </w:font>
  <w:font w:name="BerlingLTStd-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1234"/>
      <w:docPartObj>
        <w:docPartGallery w:val="Page Numbers (Bottom of Page)"/>
        <w:docPartUnique/>
      </w:docPartObj>
    </w:sdtPr>
    <w:sdtContent>
      <w:sdt>
        <w:sdtPr>
          <w:id w:val="565050523"/>
          <w:docPartObj>
            <w:docPartGallery w:val="Page Numbers (Top of Page)"/>
            <w:docPartUnique/>
          </w:docPartObj>
        </w:sdtPr>
        <w:sdtContent>
          <w:p w:rsidR="004437A3" w:rsidRDefault="004437A3">
            <w:pPr>
              <w:pStyle w:val="Footer"/>
              <w:jc w:val="right"/>
            </w:pPr>
            <w:r>
              <w:t xml:space="preserve">Page </w:t>
            </w:r>
            <w:r w:rsidR="007D6A5F">
              <w:rPr>
                <w:b/>
                <w:sz w:val="24"/>
                <w:szCs w:val="24"/>
              </w:rPr>
              <w:fldChar w:fldCharType="begin"/>
            </w:r>
            <w:r>
              <w:rPr>
                <w:b/>
              </w:rPr>
              <w:instrText xml:space="preserve"> PAGE </w:instrText>
            </w:r>
            <w:r w:rsidR="007D6A5F">
              <w:rPr>
                <w:b/>
                <w:sz w:val="24"/>
                <w:szCs w:val="24"/>
              </w:rPr>
              <w:fldChar w:fldCharType="separate"/>
            </w:r>
            <w:r w:rsidR="00A73B50">
              <w:rPr>
                <w:b/>
                <w:noProof/>
              </w:rPr>
              <w:t>1</w:t>
            </w:r>
            <w:r w:rsidR="007D6A5F">
              <w:rPr>
                <w:b/>
                <w:sz w:val="24"/>
                <w:szCs w:val="24"/>
              </w:rPr>
              <w:fldChar w:fldCharType="end"/>
            </w:r>
            <w:r>
              <w:t xml:space="preserve"> of </w:t>
            </w:r>
            <w:r w:rsidR="007D6A5F">
              <w:rPr>
                <w:b/>
                <w:sz w:val="24"/>
                <w:szCs w:val="24"/>
              </w:rPr>
              <w:fldChar w:fldCharType="begin"/>
            </w:r>
            <w:r>
              <w:rPr>
                <w:b/>
              </w:rPr>
              <w:instrText xml:space="preserve"> NUMPAGES  </w:instrText>
            </w:r>
            <w:r w:rsidR="007D6A5F">
              <w:rPr>
                <w:b/>
                <w:sz w:val="24"/>
                <w:szCs w:val="24"/>
              </w:rPr>
              <w:fldChar w:fldCharType="separate"/>
            </w:r>
            <w:r w:rsidR="00A73B50">
              <w:rPr>
                <w:b/>
                <w:noProof/>
              </w:rPr>
              <w:t>45</w:t>
            </w:r>
            <w:r w:rsidR="007D6A5F">
              <w:rPr>
                <w:b/>
                <w:sz w:val="24"/>
                <w:szCs w:val="24"/>
              </w:rPr>
              <w:fldChar w:fldCharType="end"/>
            </w:r>
          </w:p>
        </w:sdtContent>
      </w:sdt>
    </w:sdtContent>
  </w:sdt>
  <w:p w:rsidR="004437A3" w:rsidRDefault="004437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983" w:rsidRDefault="00DF5983" w:rsidP="00D1053B">
      <w:pPr>
        <w:spacing w:after="0" w:line="240" w:lineRule="auto"/>
      </w:pPr>
      <w:r>
        <w:separator/>
      </w:r>
    </w:p>
  </w:footnote>
  <w:footnote w:type="continuationSeparator" w:id="0">
    <w:p w:rsidR="00DF5983" w:rsidRDefault="00DF5983" w:rsidP="00D1053B">
      <w:pPr>
        <w:spacing w:after="0" w:line="240" w:lineRule="auto"/>
      </w:pPr>
      <w:r>
        <w:continuationSeparator/>
      </w:r>
    </w:p>
  </w:footnote>
  <w:footnote w:id="1">
    <w:p w:rsidR="004437A3" w:rsidRPr="00F97CF5" w:rsidRDefault="004437A3">
      <w:pPr>
        <w:pStyle w:val="FootnoteText"/>
        <w:rPr>
          <w:lang w:val="en-US"/>
        </w:rPr>
      </w:pPr>
      <w:r>
        <w:rPr>
          <w:rStyle w:val="FootnoteReference"/>
        </w:rPr>
        <w:footnoteRef/>
      </w:r>
      <w:r>
        <w:t xml:space="preserve"> </w:t>
      </w:r>
      <w:r>
        <w:rPr>
          <w:lang w:val="en-US"/>
        </w:rPr>
        <w:t xml:space="preserve">Dr Reddy gratefully acknowledges valuable support and </w:t>
      </w:r>
      <w:proofErr w:type="gramStart"/>
      <w:r>
        <w:rPr>
          <w:lang w:val="en-US"/>
        </w:rPr>
        <w:t>advise</w:t>
      </w:r>
      <w:proofErr w:type="gramEnd"/>
      <w:r>
        <w:rPr>
          <w:lang w:val="en-US"/>
        </w:rPr>
        <w:t xml:space="preserve"> of Dr. Pinaki Chakraborty and Dr. G R Reddy.  I am grateful to Dr. M. Govinda Rao for his valuable comments on an earlier version of the draft.   </w:t>
      </w:r>
      <w:r w:rsidR="00A73B50">
        <w:rPr>
          <w:lang w:val="en-US"/>
        </w:rPr>
        <w:t xml:space="preserve">I am also thankful to Professor V. </w:t>
      </w:r>
      <w:proofErr w:type="spellStart"/>
      <w:r w:rsidR="00A73B50">
        <w:rPr>
          <w:lang w:val="en-US"/>
        </w:rPr>
        <w:t>Anantha</w:t>
      </w:r>
      <w:proofErr w:type="spellEnd"/>
      <w:r w:rsidR="00A73B50">
        <w:rPr>
          <w:lang w:val="en-US"/>
        </w:rPr>
        <w:t xml:space="preserve"> </w:t>
      </w:r>
      <w:proofErr w:type="spellStart"/>
      <w:r w:rsidR="00A73B50">
        <w:rPr>
          <w:lang w:val="en-US"/>
        </w:rPr>
        <w:t>Nageswaran</w:t>
      </w:r>
      <w:proofErr w:type="spellEnd"/>
      <w:r w:rsidR="00A73B50">
        <w:rPr>
          <w:lang w:val="en-US"/>
        </w:rPr>
        <w:t xml:space="preserve"> for his comments.  </w:t>
      </w:r>
      <w:r>
        <w:rPr>
          <w:lang w:val="en-U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21B6"/>
    <w:multiLevelType w:val="hybridMultilevel"/>
    <w:tmpl w:val="0C74FC24"/>
    <w:lvl w:ilvl="0" w:tplc="7BCE188C">
      <w:start w:val="2"/>
      <w:numFmt w:val="lowerLetter"/>
      <w:lvlText w:val="%1."/>
      <w:lvlJc w:val="left"/>
      <w:pPr>
        <w:tabs>
          <w:tab w:val="num" w:pos="720"/>
        </w:tabs>
        <w:ind w:left="720" w:hanging="360"/>
      </w:pPr>
    </w:lvl>
    <w:lvl w:ilvl="1" w:tplc="FA7C1EBE" w:tentative="1">
      <w:start w:val="1"/>
      <w:numFmt w:val="decimal"/>
      <w:lvlText w:val="%2."/>
      <w:lvlJc w:val="left"/>
      <w:pPr>
        <w:tabs>
          <w:tab w:val="num" w:pos="1440"/>
        </w:tabs>
        <w:ind w:left="1440" w:hanging="360"/>
      </w:pPr>
    </w:lvl>
    <w:lvl w:ilvl="2" w:tplc="DB525996" w:tentative="1">
      <w:start w:val="1"/>
      <w:numFmt w:val="decimal"/>
      <w:lvlText w:val="%3."/>
      <w:lvlJc w:val="left"/>
      <w:pPr>
        <w:tabs>
          <w:tab w:val="num" w:pos="2160"/>
        </w:tabs>
        <w:ind w:left="2160" w:hanging="360"/>
      </w:pPr>
    </w:lvl>
    <w:lvl w:ilvl="3" w:tplc="5B184354" w:tentative="1">
      <w:start w:val="1"/>
      <w:numFmt w:val="decimal"/>
      <w:lvlText w:val="%4."/>
      <w:lvlJc w:val="left"/>
      <w:pPr>
        <w:tabs>
          <w:tab w:val="num" w:pos="2880"/>
        </w:tabs>
        <w:ind w:left="2880" w:hanging="360"/>
      </w:pPr>
    </w:lvl>
    <w:lvl w:ilvl="4" w:tplc="73248F92" w:tentative="1">
      <w:start w:val="1"/>
      <w:numFmt w:val="decimal"/>
      <w:lvlText w:val="%5."/>
      <w:lvlJc w:val="left"/>
      <w:pPr>
        <w:tabs>
          <w:tab w:val="num" w:pos="3600"/>
        </w:tabs>
        <w:ind w:left="3600" w:hanging="360"/>
      </w:pPr>
    </w:lvl>
    <w:lvl w:ilvl="5" w:tplc="7842D6BC" w:tentative="1">
      <w:start w:val="1"/>
      <w:numFmt w:val="decimal"/>
      <w:lvlText w:val="%6."/>
      <w:lvlJc w:val="left"/>
      <w:pPr>
        <w:tabs>
          <w:tab w:val="num" w:pos="4320"/>
        </w:tabs>
        <w:ind w:left="4320" w:hanging="360"/>
      </w:pPr>
    </w:lvl>
    <w:lvl w:ilvl="6" w:tplc="8A961DB4" w:tentative="1">
      <w:start w:val="1"/>
      <w:numFmt w:val="decimal"/>
      <w:lvlText w:val="%7."/>
      <w:lvlJc w:val="left"/>
      <w:pPr>
        <w:tabs>
          <w:tab w:val="num" w:pos="5040"/>
        </w:tabs>
        <w:ind w:left="5040" w:hanging="360"/>
      </w:pPr>
    </w:lvl>
    <w:lvl w:ilvl="7" w:tplc="DAA43EDA" w:tentative="1">
      <w:start w:val="1"/>
      <w:numFmt w:val="decimal"/>
      <w:lvlText w:val="%8."/>
      <w:lvlJc w:val="left"/>
      <w:pPr>
        <w:tabs>
          <w:tab w:val="num" w:pos="5760"/>
        </w:tabs>
        <w:ind w:left="5760" w:hanging="360"/>
      </w:pPr>
    </w:lvl>
    <w:lvl w:ilvl="8" w:tplc="BF9C47EC" w:tentative="1">
      <w:start w:val="1"/>
      <w:numFmt w:val="decimal"/>
      <w:lvlText w:val="%9."/>
      <w:lvlJc w:val="left"/>
      <w:pPr>
        <w:tabs>
          <w:tab w:val="num" w:pos="6480"/>
        </w:tabs>
        <w:ind w:left="6480" w:hanging="360"/>
      </w:pPr>
    </w:lvl>
  </w:abstractNum>
  <w:abstractNum w:abstractNumId="1">
    <w:nsid w:val="0B2955D7"/>
    <w:multiLevelType w:val="multilevel"/>
    <w:tmpl w:val="E00AA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4148C2"/>
    <w:multiLevelType w:val="hybridMultilevel"/>
    <w:tmpl w:val="6D8ACF90"/>
    <w:lvl w:ilvl="0" w:tplc="F3E8BCB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56616A"/>
    <w:multiLevelType w:val="hybridMultilevel"/>
    <w:tmpl w:val="97E015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00BD5"/>
    <w:multiLevelType w:val="hybridMultilevel"/>
    <w:tmpl w:val="FB6294C6"/>
    <w:lvl w:ilvl="0" w:tplc="65B8DC4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8411AF"/>
    <w:multiLevelType w:val="hybridMultilevel"/>
    <w:tmpl w:val="4712FABA"/>
    <w:lvl w:ilvl="0" w:tplc="6FB619B8">
      <w:start w:val="6"/>
      <w:numFmt w:val="lowerLetter"/>
      <w:lvlText w:val="%1."/>
      <w:lvlJc w:val="left"/>
      <w:pPr>
        <w:tabs>
          <w:tab w:val="num" w:pos="720"/>
        </w:tabs>
        <w:ind w:left="720" w:hanging="360"/>
      </w:pPr>
    </w:lvl>
    <w:lvl w:ilvl="1" w:tplc="2EEA32D0" w:tentative="1">
      <w:start w:val="1"/>
      <w:numFmt w:val="decimal"/>
      <w:lvlText w:val="%2."/>
      <w:lvlJc w:val="left"/>
      <w:pPr>
        <w:tabs>
          <w:tab w:val="num" w:pos="1440"/>
        </w:tabs>
        <w:ind w:left="1440" w:hanging="360"/>
      </w:pPr>
    </w:lvl>
    <w:lvl w:ilvl="2" w:tplc="CA20D42E" w:tentative="1">
      <w:start w:val="1"/>
      <w:numFmt w:val="decimal"/>
      <w:lvlText w:val="%3."/>
      <w:lvlJc w:val="left"/>
      <w:pPr>
        <w:tabs>
          <w:tab w:val="num" w:pos="2160"/>
        </w:tabs>
        <w:ind w:left="2160" w:hanging="360"/>
      </w:pPr>
    </w:lvl>
    <w:lvl w:ilvl="3" w:tplc="75281138" w:tentative="1">
      <w:start w:val="1"/>
      <w:numFmt w:val="decimal"/>
      <w:lvlText w:val="%4."/>
      <w:lvlJc w:val="left"/>
      <w:pPr>
        <w:tabs>
          <w:tab w:val="num" w:pos="2880"/>
        </w:tabs>
        <w:ind w:left="2880" w:hanging="360"/>
      </w:pPr>
    </w:lvl>
    <w:lvl w:ilvl="4" w:tplc="126C08E4" w:tentative="1">
      <w:start w:val="1"/>
      <w:numFmt w:val="decimal"/>
      <w:lvlText w:val="%5."/>
      <w:lvlJc w:val="left"/>
      <w:pPr>
        <w:tabs>
          <w:tab w:val="num" w:pos="3600"/>
        </w:tabs>
        <w:ind w:left="3600" w:hanging="360"/>
      </w:pPr>
    </w:lvl>
    <w:lvl w:ilvl="5" w:tplc="720A692C" w:tentative="1">
      <w:start w:val="1"/>
      <w:numFmt w:val="decimal"/>
      <w:lvlText w:val="%6."/>
      <w:lvlJc w:val="left"/>
      <w:pPr>
        <w:tabs>
          <w:tab w:val="num" w:pos="4320"/>
        </w:tabs>
        <w:ind w:left="4320" w:hanging="360"/>
      </w:pPr>
    </w:lvl>
    <w:lvl w:ilvl="6" w:tplc="5E5E9FC6" w:tentative="1">
      <w:start w:val="1"/>
      <w:numFmt w:val="decimal"/>
      <w:lvlText w:val="%7."/>
      <w:lvlJc w:val="left"/>
      <w:pPr>
        <w:tabs>
          <w:tab w:val="num" w:pos="5040"/>
        </w:tabs>
        <w:ind w:left="5040" w:hanging="360"/>
      </w:pPr>
    </w:lvl>
    <w:lvl w:ilvl="7" w:tplc="1F78C02A" w:tentative="1">
      <w:start w:val="1"/>
      <w:numFmt w:val="decimal"/>
      <w:lvlText w:val="%8."/>
      <w:lvlJc w:val="left"/>
      <w:pPr>
        <w:tabs>
          <w:tab w:val="num" w:pos="5760"/>
        </w:tabs>
        <w:ind w:left="5760" w:hanging="360"/>
      </w:pPr>
    </w:lvl>
    <w:lvl w:ilvl="8" w:tplc="A0989880" w:tentative="1">
      <w:start w:val="1"/>
      <w:numFmt w:val="decimal"/>
      <w:lvlText w:val="%9."/>
      <w:lvlJc w:val="left"/>
      <w:pPr>
        <w:tabs>
          <w:tab w:val="num" w:pos="6480"/>
        </w:tabs>
        <w:ind w:left="6480" w:hanging="360"/>
      </w:pPr>
    </w:lvl>
  </w:abstractNum>
  <w:abstractNum w:abstractNumId="6">
    <w:nsid w:val="374F0536"/>
    <w:multiLevelType w:val="hybridMultilevel"/>
    <w:tmpl w:val="22E4F916"/>
    <w:lvl w:ilvl="0" w:tplc="574C8F3A">
      <w:start w:val="4"/>
      <w:numFmt w:val="lowerLetter"/>
      <w:lvlText w:val="%1."/>
      <w:lvlJc w:val="left"/>
      <w:pPr>
        <w:tabs>
          <w:tab w:val="num" w:pos="720"/>
        </w:tabs>
        <w:ind w:left="720" w:hanging="360"/>
      </w:pPr>
    </w:lvl>
    <w:lvl w:ilvl="1" w:tplc="2A5C88A6" w:tentative="1">
      <w:start w:val="1"/>
      <w:numFmt w:val="decimal"/>
      <w:lvlText w:val="%2."/>
      <w:lvlJc w:val="left"/>
      <w:pPr>
        <w:tabs>
          <w:tab w:val="num" w:pos="1440"/>
        </w:tabs>
        <w:ind w:left="1440" w:hanging="360"/>
      </w:pPr>
    </w:lvl>
    <w:lvl w:ilvl="2" w:tplc="F326B718" w:tentative="1">
      <w:start w:val="1"/>
      <w:numFmt w:val="decimal"/>
      <w:lvlText w:val="%3."/>
      <w:lvlJc w:val="left"/>
      <w:pPr>
        <w:tabs>
          <w:tab w:val="num" w:pos="2160"/>
        </w:tabs>
        <w:ind w:left="2160" w:hanging="360"/>
      </w:pPr>
    </w:lvl>
    <w:lvl w:ilvl="3" w:tplc="8D0818FA" w:tentative="1">
      <w:start w:val="1"/>
      <w:numFmt w:val="decimal"/>
      <w:lvlText w:val="%4."/>
      <w:lvlJc w:val="left"/>
      <w:pPr>
        <w:tabs>
          <w:tab w:val="num" w:pos="2880"/>
        </w:tabs>
        <w:ind w:left="2880" w:hanging="360"/>
      </w:pPr>
    </w:lvl>
    <w:lvl w:ilvl="4" w:tplc="9A88DBFC" w:tentative="1">
      <w:start w:val="1"/>
      <w:numFmt w:val="decimal"/>
      <w:lvlText w:val="%5."/>
      <w:lvlJc w:val="left"/>
      <w:pPr>
        <w:tabs>
          <w:tab w:val="num" w:pos="3600"/>
        </w:tabs>
        <w:ind w:left="3600" w:hanging="360"/>
      </w:pPr>
    </w:lvl>
    <w:lvl w:ilvl="5" w:tplc="E6D28BEE" w:tentative="1">
      <w:start w:val="1"/>
      <w:numFmt w:val="decimal"/>
      <w:lvlText w:val="%6."/>
      <w:lvlJc w:val="left"/>
      <w:pPr>
        <w:tabs>
          <w:tab w:val="num" w:pos="4320"/>
        </w:tabs>
        <w:ind w:left="4320" w:hanging="360"/>
      </w:pPr>
    </w:lvl>
    <w:lvl w:ilvl="6" w:tplc="9372DF98" w:tentative="1">
      <w:start w:val="1"/>
      <w:numFmt w:val="decimal"/>
      <w:lvlText w:val="%7."/>
      <w:lvlJc w:val="left"/>
      <w:pPr>
        <w:tabs>
          <w:tab w:val="num" w:pos="5040"/>
        </w:tabs>
        <w:ind w:left="5040" w:hanging="360"/>
      </w:pPr>
    </w:lvl>
    <w:lvl w:ilvl="7" w:tplc="61464224" w:tentative="1">
      <w:start w:val="1"/>
      <w:numFmt w:val="decimal"/>
      <w:lvlText w:val="%8."/>
      <w:lvlJc w:val="left"/>
      <w:pPr>
        <w:tabs>
          <w:tab w:val="num" w:pos="5760"/>
        </w:tabs>
        <w:ind w:left="5760" w:hanging="360"/>
      </w:pPr>
    </w:lvl>
    <w:lvl w:ilvl="8" w:tplc="DC2AE1E0" w:tentative="1">
      <w:start w:val="1"/>
      <w:numFmt w:val="decimal"/>
      <w:lvlText w:val="%9."/>
      <w:lvlJc w:val="left"/>
      <w:pPr>
        <w:tabs>
          <w:tab w:val="num" w:pos="6480"/>
        </w:tabs>
        <w:ind w:left="6480" w:hanging="360"/>
      </w:pPr>
    </w:lvl>
  </w:abstractNum>
  <w:abstractNum w:abstractNumId="7">
    <w:nsid w:val="4D876FBF"/>
    <w:multiLevelType w:val="hybridMultilevel"/>
    <w:tmpl w:val="8940EB56"/>
    <w:lvl w:ilvl="0" w:tplc="EB605326">
      <w:start w:val="5"/>
      <w:numFmt w:val="lowerLetter"/>
      <w:lvlText w:val="%1."/>
      <w:lvlJc w:val="left"/>
      <w:pPr>
        <w:tabs>
          <w:tab w:val="num" w:pos="720"/>
        </w:tabs>
        <w:ind w:left="720" w:hanging="360"/>
      </w:pPr>
    </w:lvl>
    <w:lvl w:ilvl="1" w:tplc="528E7F60" w:tentative="1">
      <w:start w:val="1"/>
      <w:numFmt w:val="decimal"/>
      <w:lvlText w:val="%2."/>
      <w:lvlJc w:val="left"/>
      <w:pPr>
        <w:tabs>
          <w:tab w:val="num" w:pos="1440"/>
        </w:tabs>
        <w:ind w:left="1440" w:hanging="360"/>
      </w:pPr>
    </w:lvl>
    <w:lvl w:ilvl="2" w:tplc="2C7E2BD2" w:tentative="1">
      <w:start w:val="1"/>
      <w:numFmt w:val="decimal"/>
      <w:lvlText w:val="%3."/>
      <w:lvlJc w:val="left"/>
      <w:pPr>
        <w:tabs>
          <w:tab w:val="num" w:pos="2160"/>
        </w:tabs>
        <w:ind w:left="2160" w:hanging="360"/>
      </w:pPr>
    </w:lvl>
    <w:lvl w:ilvl="3" w:tplc="76C876B4" w:tentative="1">
      <w:start w:val="1"/>
      <w:numFmt w:val="decimal"/>
      <w:lvlText w:val="%4."/>
      <w:lvlJc w:val="left"/>
      <w:pPr>
        <w:tabs>
          <w:tab w:val="num" w:pos="2880"/>
        </w:tabs>
        <w:ind w:left="2880" w:hanging="360"/>
      </w:pPr>
    </w:lvl>
    <w:lvl w:ilvl="4" w:tplc="530665E4" w:tentative="1">
      <w:start w:val="1"/>
      <w:numFmt w:val="decimal"/>
      <w:lvlText w:val="%5."/>
      <w:lvlJc w:val="left"/>
      <w:pPr>
        <w:tabs>
          <w:tab w:val="num" w:pos="3600"/>
        </w:tabs>
        <w:ind w:left="3600" w:hanging="360"/>
      </w:pPr>
    </w:lvl>
    <w:lvl w:ilvl="5" w:tplc="6FFA369E" w:tentative="1">
      <w:start w:val="1"/>
      <w:numFmt w:val="decimal"/>
      <w:lvlText w:val="%6."/>
      <w:lvlJc w:val="left"/>
      <w:pPr>
        <w:tabs>
          <w:tab w:val="num" w:pos="4320"/>
        </w:tabs>
        <w:ind w:left="4320" w:hanging="360"/>
      </w:pPr>
    </w:lvl>
    <w:lvl w:ilvl="6" w:tplc="9C68E64C" w:tentative="1">
      <w:start w:val="1"/>
      <w:numFmt w:val="decimal"/>
      <w:lvlText w:val="%7."/>
      <w:lvlJc w:val="left"/>
      <w:pPr>
        <w:tabs>
          <w:tab w:val="num" w:pos="5040"/>
        </w:tabs>
        <w:ind w:left="5040" w:hanging="360"/>
      </w:pPr>
    </w:lvl>
    <w:lvl w:ilvl="7" w:tplc="785858C2" w:tentative="1">
      <w:start w:val="1"/>
      <w:numFmt w:val="decimal"/>
      <w:lvlText w:val="%8."/>
      <w:lvlJc w:val="left"/>
      <w:pPr>
        <w:tabs>
          <w:tab w:val="num" w:pos="5760"/>
        </w:tabs>
        <w:ind w:left="5760" w:hanging="360"/>
      </w:pPr>
    </w:lvl>
    <w:lvl w:ilvl="8" w:tplc="6CB83FBA" w:tentative="1">
      <w:start w:val="1"/>
      <w:numFmt w:val="decimal"/>
      <w:lvlText w:val="%9."/>
      <w:lvlJc w:val="left"/>
      <w:pPr>
        <w:tabs>
          <w:tab w:val="num" w:pos="6480"/>
        </w:tabs>
        <w:ind w:left="6480" w:hanging="360"/>
      </w:pPr>
    </w:lvl>
  </w:abstractNum>
  <w:abstractNum w:abstractNumId="8">
    <w:nsid w:val="52E14940"/>
    <w:multiLevelType w:val="multilevel"/>
    <w:tmpl w:val="C2805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784247"/>
    <w:multiLevelType w:val="hybridMultilevel"/>
    <w:tmpl w:val="D820EA78"/>
    <w:lvl w:ilvl="0" w:tplc="AC98E6FE">
      <w:start w:val="3"/>
      <w:numFmt w:val="lowerLetter"/>
      <w:lvlText w:val="%1."/>
      <w:lvlJc w:val="left"/>
      <w:pPr>
        <w:tabs>
          <w:tab w:val="num" w:pos="720"/>
        </w:tabs>
        <w:ind w:left="720" w:hanging="360"/>
      </w:pPr>
    </w:lvl>
    <w:lvl w:ilvl="1" w:tplc="63B6B5AA" w:tentative="1">
      <w:start w:val="1"/>
      <w:numFmt w:val="decimal"/>
      <w:lvlText w:val="%2."/>
      <w:lvlJc w:val="left"/>
      <w:pPr>
        <w:tabs>
          <w:tab w:val="num" w:pos="1440"/>
        </w:tabs>
        <w:ind w:left="1440" w:hanging="360"/>
      </w:pPr>
    </w:lvl>
    <w:lvl w:ilvl="2" w:tplc="B67C3284" w:tentative="1">
      <w:start w:val="1"/>
      <w:numFmt w:val="decimal"/>
      <w:lvlText w:val="%3."/>
      <w:lvlJc w:val="left"/>
      <w:pPr>
        <w:tabs>
          <w:tab w:val="num" w:pos="2160"/>
        </w:tabs>
        <w:ind w:left="2160" w:hanging="360"/>
      </w:pPr>
    </w:lvl>
    <w:lvl w:ilvl="3" w:tplc="761475FE" w:tentative="1">
      <w:start w:val="1"/>
      <w:numFmt w:val="decimal"/>
      <w:lvlText w:val="%4."/>
      <w:lvlJc w:val="left"/>
      <w:pPr>
        <w:tabs>
          <w:tab w:val="num" w:pos="2880"/>
        </w:tabs>
        <w:ind w:left="2880" w:hanging="360"/>
      </w:pPr>
    </w:lvl>
    <w:lvl w:ilvl="4" w:tplc="0138120C" w:tentative="1">
      <w:start w:val="1"/>
      <w:numFmt w:val="decimal"/>
      <w:lvlText w:val="%5."/>
      <w:lvlJc w:val="left"/>
      <w:pPr>
        <w:tabs>
          <w:tab w:val="num" w:pos="3600"/>
        </w:tabs>
        <w:ind w:left="3600" w:hanging="360"/>
      </w:pPr>
    </w:lvl>
    <w:lvl w:ilvl="5" w:tplc="A8DA1FC6" w:tentative="1">
      <w:start w:val="1"/>
      <w:numFmt w:val="decimal"/>
      <w:lvlText w:val="%6."/>
      <w:lvlJc w:val="left"/>
      <w:pPr>
        <w:tabs>
          <w:tab w:val="num" w:pos="4320"/>
        </w:tabs>
        <w:ind w:left="4320" w:hanging="360"/>
      </w:pPr>
    </w:lvl>
    <w:lvl w:ilvl="6" w:tplc="4E7A2AF0" w:tentative="1">
      <w:start w:val="1"/>
      <w:numFmt w:val="decimal"/>
      <w:lvlText w:val="%7."/>
      <w:lvlJc w:val="left"/>
      <w:pPr>
        <w:tabs>
          <w:tab w:val="num" w:pos="5040"/>
        </w:tabs>
        <w:ind w:left="5040" w:hanging="360"/>
      </w:pPr>
    </w:lvl>
    <w:lvl w:ilvl="7" w:tplc="B34AAD0C" w:tentative="1">
      <w:start w:val="1"/>
      <w:numFmt w:val="decimal"/>
      <w:lvlText w:val="%8."/>
      <w:lvlJc w:val="left"/>
      <w:pPr>
        <w:tabs>
          <w:tab w:val="num" w:pos="5760"/>
        </w:tabs>
        <w:ind w:left="5760" w:hanging="360"/>
      </w:pPr>
    </w:lvl>
    <w:lvl w:ilvl="8" w:tplc="22206946" w:tentative="1">
      <w:start w:val="1"/>
      <w:numFmt w:val="decimal"/>
      <w:lvlText w:val="%9."/>
      <w:lvlJc w:val="left"/>
      <w:pPr>
        <w:tabs>
          <w:tab w:val="num" w:pos="6480"/>
        </w:tabs>
        <w:ind w:left="6480" w:hanging="360"/>
      </w:pPr>
    </w:lvl>
  </w:abstractNum>
  <w:abstractNum w:abstractNumId="10">
    <w:nsid w:val="62D605E0"/>
    <w:multiLevelType w:val="hybridMultilevel"/>
    <w:tmpl w:val="45427E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7CA0682"/>
    <w:multiLevelType w:val="hybridMultilevel"/>
    <w:tmpl w:val="028C12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810906"/>
    <w:multiLevelType w:val="hybridMultilevel"/>
    <w:tmpl w:val="AC049A30"/>
    <w:lvl w:ilvl="0" w:tplc="AA003452">
      <w:start w:val="7"/>
      <w:numFmt w:val="lowerLetter"/>
      <w:lvlText w:val="%1."/>
      <w:lvlJc w:val="left"/>
      <w:pPr>
        <w:tabs>
          <w:tab w:val="num" w:pos="720"/>
        </w:tabs>
        <w:ind w:left="720" w:hanging="360"/>
      </w:pPr>
    </w:lvl>
    <w:lvl w:ilvl="1" w:tplc="88E64A16" w:tentative="1">
      <w:start w:val="1"/>
      <w:numFmt w:val="decimal"/>
      <w:lvlText w:val="%2."/>
      <w:lvlJc w:val="left"/>
      <w:pPr>
        <w:tabs>
          <w:tab w:val="num" w:pos="1440"/>
        </w:tabs>
        <w:ind w:left="1440" w:hanging="360"/>
      </w:pPr>
    </w:lvl>
    <w:lvl w:ilvl="2" w:tplc="8248A5FA" w:tentative="1">
      <w:start w:val="1"/>
      <w:numFmt w:val="decimal"/>
      <w:lvlText w:val="%3."/>
      <w:lvlJc w:val="left"/>
      <w:pPr>
        <w:tabs>
          <w:tab w:val="num" w:pos="2160"/>
        </w:tabs>
        <w:ind w:left="2160" w:hanging="360"/>
      </w:pPr>
    </w:lvl>
    <w:lvl w:ilvl="3" w:tplc="D3227D08" w:tentative="1">
      <w:start w:val="1"/>
      <w:numFmt w:val="decimal"/>
      <w:lvlText w:val="%4."/>
      <w:lvlJc w:val="left"/>
      <w:pPr>
        <w:tabs>
          <w:tab w:val="num" w:pos="2880"/>
        </w:tabs>
        <w:ind w:left="2880" w:hanging="360"/>
      </w:pPr>
    </w:lvl>
    <w:lvl w:ilvl="4" w:tplc="366AE14A" w:tentative="1">
      <w:start w:val="1"/>
      <w:numFmt w:val="decimal"/>
      <w:lvlText w:val="%5."/>
      <w:lvlJc w:val="left"/>
      <w:pPr>
        <w:tabs>
          <w:tab w:val="num" w:pos="3600"/>
        </w:tabs>
        <w:ind w:left="3600" w:hanging="360"/>
      </w:pPr>
    </w:lvl>
    <w:lvl w:ilvl="5" w:tplc="7638C09A" w:tentative="1">
      <w:start w:val="1"/>
      <w:numFmt w:val="decimal"/>
      <w:lvlText w:val="%6."/>
      <w:lvlJc w:val="left"/>
      <w:pPr>
        <w:tabs>
          <w:tab w:val="num" w:pos="4320"/>
        </w:tabs>
        <w:ind w:left="4320" w:hanging="360"/>
      </w:pPr>
    </w:lvl>
    <w:lvl w:ilvl="6" w:tplc="5AA8625C" w:tentative="1">
      <w:start w:val="1"/>
      <w:numFmt w:val="decimal"/>
      <w:lvlText w:val="%7."/>
      <w:lvlJc w:val="left"/>
      <w:pPr>
        <w:tabs>
          <w:tab w:val="num" w:pos="5040"/>
        </w:tabs>
        <w:ind w:left="5040" w:hanging="360"/>
      </w:pPr>
    </w:lvl>
    <w:lvl w:ilvl="7" w:tplc="F41C74B4" w:tentative="1">
      <w:start w:val="1"/>
      <w:numFmt w:val="decimal"/>
      <w:lvlText w:val="%8."/>
      <w:lvlJc w:val="left"/>
      <w:pPr>
        <w:tabs>
          <w:tab w:val="num" w:pos="5760"/>
        </w:tabs>
        <w:ind w:left="5760" w:hanging="360"/>
      </w:pPr>
    </w:lvl>
    <w:lvl w:ilvl="8" w:tplc="B14E899C" w:tentative="1">
      <w:start w:val="1"/>
      <w:numFmt w:val="decimal"/>
      <w:lvlText w:val="%9."/>
      <w:lvlJc w:val="left"/>
      <w:pPr>
        <w:tabs>
          <w:tab w:val="num" w:pos="6480"/>
        </w:tabs>
        <w:ind w:left="6480" w:hanging="360"/>
      </w:pPr>
    </w:lvl>
  </w:abstractNum>
  <w:num w:numId="1">
    <w:abstractNumId w:val="3"/>
  </w:num>
  <w:num w:numId="2">
    <w:abstractNumId w:val="11"/>
  </w:num>
  <w:num w:numId="3">
    <w:abstractNumId w:val="8"/>
    <w:lvlOverride w:ilvl="0">
      <w:lvl w:ilvl="0">
        <w:numFmt w:val="lowerLetter"/>
        <w:lvlText w:val="%1."/>
        <w:lvlJc w:val="left"/>
      </w:lvl>
    </w:lvlOverride>
  </w:num>
  <w:num w:numId="4">
    <w:abstractNumId w:val="0"/>
  </w:num>
  <w:num w:numId="5">
    <w:abstractNumId w:val="9"/>
  </w:num>
  <w:num w:numId="6">
    <w:abstractNumId w:val="1"/>
  </w:num>
  <w:num w:numId="7">
    <w:abstractNumId w:val="6"/>
  </w:num>
  <w:num w:numId="8">
    <w:abstractNumId w:val="7"/>
  </w:num>
  <w:num w:numId="9">
    <w:abstractNumId w:val="5"/>
  </w:num>
  <w:num w:numId="10">
    <w:abstractNumId w:val="12"/>
  </w:num>
  <w:num w:numId="11">
    <w:abstractNumId w:val="12"/>
    <w:lvlOverride w:ilvl="0">
      <w:lvl w:ilvl="0" w:tplc="AA003452">
        <w:numFmt w:val="lowerLetter"/>
        <w:lvlText w:val="%1."/>
        <w:lvlJc w:val="left"/>
      </w:lvl>
    </w:lvlOverride>
  </w:num>
  <w:num w:numId="12">
    <w:abstractNumId w:val="12"/>
    <w:lvlOverride w:ilvl="0">
      <w:lvl w:ilvl="0" w:tplc="AA003452">
        <w:numFmt w:val="lowerLetter"/>
        <w:lvlText w:val="%1."/>
        <w:lvlJc w:val="left"/>
      </w:lvl>
    </w:lvlOverride>
  </w:num>
  <w:num w:numId="13">
    <w:abstractNumId w:val="12"/>
    <w:lvlOverride w:ilvl="0">
      <w:lvl w:ilvl="0" w:tplc="AA003452">
        <w:numFmt w:val="lowerLetter"/>
        <w:lvlText w:val="%1."/>
        <w:lvlJc w:val="left"/>
      </w:lvl>
    </w:lvlOverride>
  </w:num>
  <w:num w:numId="14">
    <w:abstractNumId w:val="10"/>
  </w:num>
  <w:num w:numId="15">
    <w:abstractNumId w:val="4"/>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nkatraman Anantha Nageswaran">
    <w15:presenceInfo w15:providerId="Windows Live" w15:userId="3cfcd5d40305786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D6AE7"/>
    <w:rsid w:val="00002EC4"/>
    <w:rsid w:val="00003D2D"/>
    <w:rsid w:val="00007390"/>
    <w:rsid w:val="0001018D"/>
    <w:rsid w:val="000108EC"/>
    <w:rsid w:val="00011433"/>
    <w:rsid w:val="000135B3"/>
    <w:rsid w:val="00016F1B"/>
    <w:rsid w:val="00017205"/>
    <w:rsid w:val="000202BD"/>
    <w:rsid w:val="000231B5"/>
    <w:rsid w:val="000242CF"/>
    <w:rsid w:val="00024365"/>
    <w:rsid w:val="00024736"/>
    <w:rsid w:val="00024F6B"/>
    <w:rsid w:val="00026653"/>
    <w:rsid w:val="00026ED1"/>
    <w:rsid w:val="00026F6A"/>
    <w:rsid w:val="00031140"/>
    <w:rsid w:val="00031B83"/>
    <w:rsid w:val="000320ED"/>
    <w:rsid w:val="000324A2"/>
    <w:rsid w:val="000329F9"/>
    <w:rsid w:val="0003558A"/>
    <w:rsid w:val="000363C6"/>
    <w:rsid w:val="00036FA9"/>
    <w:rsid w:val="00037199"/>
    <w:rsid w:val="00040B4E"/>
    <w:rsid w:val="00050DAC"/>
    <w:rsid w:val="00051185"/>
    <w:rsid w:val="0005159E"/>
    <w:rsid w:val="0005392B"/>
    <w:rsid w:val="000544FD"/>
    <w:rsid w:val="00061201"/>
    <w:rsid w:val="00064F3C"/>
    <w:rsid w:val="000737F4"/>
    <w:rsid w:val="00074842"/>
    <w:rsid w:val="00074BC4"/>
    <w:rsid w:val="0007528F"/>
    <w:rsid w:val="0007606C"/>
    <w:rsid w:val="00076A38"/>
    <w:rsid w:val="0007777C"/>
    <w:rsid w:val="00084230"/>
    <w:rsid w:val="00085B7D"/>
    <w:rsid w:val="000875A7"/>
    <w:rsid w:val="00090732"/>
    <w:rsid w:val="0009079B"/>
    <w:rsid w:val="00091A51"/>
    <w:rsid w:val="000923C5"/>
    <w:rsid w:val="000958E0"/>
    <w:rsid w:val="00095F09"/>
    <w:rsid w:val="00096B10"/>
    <w:rsid w:val="000A1FA4"/>
    <w:rsid w:val="000A58E8"/>
    <w:rsid w:val="000A5C49"/>
    <w:rsid w:val="000B0C7E"/>
    <w:rsid w:val="000B1BBF"/>
    <w:rsid w:val="000B415D"/>
    <w:rsid w:val="000B4ED1"/>
    <w:rsid w:val="000B75D3"/>
    <w:rsid w:val="000C479B"/>
    <w:rsid w:val="000C5C91"/>
    <w:rsid w:val="000D0869"/>
    <w:rsid w:val="000D772B"/>
    <w:rsid w:val="000E00E0"/>
    <w:rsid w:val="000E188F"/>
    <w:rsid w:val="000E454A"/>
    <w:rsid w:val="000E5582"/>
    <w:rsid w:val="000E5ED8"/>
    <w:rsid w:val="000F0F07"/>
    <w:rsid w:val="000F7CC2"/>
    <w:rsid w:val="0010146B"/>
    <w:rsid w:val="00101DD6"/>
    <w:rsid w:val="001029D2"/>
    <w:rsid w:val="00102AB2"/>
    <w:rsid w:val="00102F79"/>
    <w:rsid w:val="00105B93"/>
    <w:rsid w:val="0011259C"/>
    <w:rsid w:val="00112C73"/>
    <w:rsid w:val="0011373A"/>
    <w:rsid w:val="001137DF"/>
    <w:rsid w:val="0011418D"/>
    <w:rsid w:val="001148EE"/>
    <w:rsid w:val="00115E5E"/>
    <w:rsid w:val="00124AF2"/>
    <w:rsid w:val="001263AF"/>
    <w:rsid w:val="00127BCF"/>
    <w:rsid w:val="00130B73"/>
    <w:rsid w:val="001367EB"/>
    <w:rsid w:val="001379D4"/>
    <w:rsid w:val="0014479B"/>
    <w:rsid w:val="001450AD"/>
    <w:rsid w:val="001478A1"/>
    <w:rsid w:val="00150D18"/>
    <w:rsid w:val="00151090"/>
    <w:rsid w:val="00153849"/>
    <w:rsid w:val="00154746"/>
    <w:rsid w:val="00155035"/>
    <w:rsid w:val="0016091F"/>
    <w:rsid w:val="0016732C"/>
    <w:rsid w:val="00170EEE"/>
    <w:rsid w:val="00174B18"/>
    <w:rsid w:val="0017607A"/>
    <w:rsid w:val="00176A2E"/>
    <w:rsid w:val="00176CA5"/>
    <w:rsid w:val="00177A95"/>
    <w:rsid w:val="00182803"/>
    <w:rsid w:val="00183B15"/>
    <w:rsid w:val="00186117"/>
    <w:rsid w:val="00192189"/>
    <w:rsid w:val="001A01A3"/>
    <w:rsid w:val="001A065C"/>
    <w:rsid w:val="001A12F1"/>
    <w:rsid w:val="001A1BA9"/>
    <w:rsid w:val="001A1E6B"/>
    <w:rsid w:val="001A436A"/>
    <w:rsid w:val="001A5240"/>
    <w:rsid w:val="001A5F2F"/>
    <w:rsid w:val="001A75DB"/>
    <w:rsid w:val="001B1493"/>
    <w:rsid w:val="001B4FE1"/>
    <w:rsid w:val="001B5C32"/>
    <w:rsid w:val="001C0D41"/>
    <w:rsid w:val="001C1BDA"/>
    <w:rsid w:val="001D35E4"/>
    <w:rsid w:val="001D3C0E"/>
    <w:rsid w:val="001D792B"/>
    <w:rsid w:val="001E1381"/>
    <w:rsid w:val="001E2157"/>
    <w:rsid w:val="001E26C6"/>
    <w:rsid w:val="001E40E7"/>
    <w:rsid w:val="001F033E"/>
    <w:rsid w:val="001F275E"/>
    <w:rsid w:val="001F5016"/>
    <w:rsid w:val="001F51CA"/>
    <w:rsid w:val="001F57F8"/>
    <w:rsid w:val="00202706"/>
    <w:rsid w:val="00206251"/>
    <w:rsid w:val="002107E9"/>
    <w:rsid w:val="00211CFB"/>
    <w:rsid w:val="00212BDF"/>
    <w:rsid w:val="00215348"/>
    <w:rsid w:val="002164F0"/>
    <w:rsid w:val="002167F7"/>
    <w:rsid w:val="00217488"/>
    <w:rsid w:val="0022123A"/>
    <w:rsid w:val="0022214F"/>
    <w:rsid w:val="00224C71"/>
    <w:rsid w:val="00227308"/>
    <w:rsid w:val="00227387"/>
    <w:rsid w:val="002306F0"/>
    <w:rsid w:val="0023600F"/>
    <w:rsid w:val="0024044A"/>
    <w:rsid w:val="00240F1D"/>
    <w:rsid w:val="00245C75"/>
    <w:rsid w:val="0024679E"/>
    <w:rsid w:val="00251B66"/>
    <w:rsid w:val="0025733F"/>
    <w:rsid w:val="00261B73"/>
    <w:rsid w:val="00262B3B"/>
    <w:rsid w:val="00262D0E"/>
    <w:rsid w:val="00266285"/>
    <w:rsid w:val="00266C06"/>
    <w:rsid w:val="0027160F"/>
    <w:rsid w:val="00271B91"/>
    <w:rsid w:val="002731CC"/>
    <w:rsid w:val="0027546B"/>
    <w:rsid w:val="00275854"/>
    <w:rsid w:val="002778C0"/>
    <w:rsid w:val="00281BC6"/>
    <w:rsid w:val="0028465F"/>
    <w:rsid w:val="00287A38"/>
    <w:rsid w:val="00287A8D"/>
    <w:rsid w:val="00291EAB"/>
    <w:rsid w:val="00296D09"/>
    <w:rsid w:val="002A04FA"/>
    <w:rsid w:val="002A0EED"/>
    <w:rsid w:val="002A1AD1"/>
    <w:rsid w:val="002A39CD"/>
    <w:rsid w:val="002A4E6A"/>
    <w:rsid w:val="002A7F32"/>
    <w:rsid w:val="002B2665"/>
    <w:rsid w:val="002B3400"/>
    <w:rsid w:val="002B3DE8"/>
    <w:rsid w:val="002B50AF"/>
    <w:rsid w:val="002B6BDB"/>
    <w:rsid w:val="002B7954"/>
    <w:rsid w:val="002B7CC1"/>
    <w:rsid w:val="002C534B"/>
    <w:rsid w:val="002C5FA4"/>
    <w:rsid w:val="002C71C3"/>
    <w:rsid w:val="002D0405"/>
    <w:rsid w:val="002D0F0E"/>
    <w:rsid w:val="002D2745"/>
    <w:rsid w:val="002D3171"/>
    <w:rsid w:val="002D3979"/>
    <w:rsid w:val="002D4E49"/>
    <w:rsid w:val="002D6F3B"/>
    <w:rsid w:val="002E26AD"/>
    <w:rsid w:val="002E3315"/>
    <w:rsid w:val="002E4BAD"/>
    <w:rsid w:val="002F5C75"/>
    <w:rsid w:val="002F5F15"/>
    <w:rsid w:val="00300195"/>
    <w:rsid w:val="003003A1"/>
    <w:rsid w:val="00303D38"/>
    <w:rsid w:val="003069D1"/>
    <w:rsid w:val="00307E6C"/>
    <w:rsid w:val="00311D10"/>
    <w:rsid w:val="003127D1"/>
    <w:rsid w:val="003160A5"/>
    <w:rsid w:val="003164C8"/>
    <w:rsid w:val="003164E2"/>
    <w:rsid w:val="00317E4C"/>
    <w:rsid w:val="003205CD"/>
    <w:rsid w:val="00321F08"/>
    <w:rsid w:val="00326029"/>
    <w:rsid w:val="00326866"/>
    <w:rsid w:val="0033536D"/>
    <w:rsid w:val="00335B2D"/>
    <w:rsid w:val="00335D27"/>
    <w:rsid w:val="00341014"/>
    <w:rsid w:val="0034219D"/>
    <w:rsid w:val="003444DB"/>
    <w:rsid w:val="00344B7A"/>
    <w:rsid w:val="00344B83"/>
    <w:rsid w:val="00344E7C"/>
    <w:rsid w:val="0034577E"/>
    <w:rsid w:val="003457AB"/>
    <w:rsid w:val="0034765F"/>
    <w:rsid w:val="0035163C"/>
    <w:rsid w:val="0035386C"/>
    <w:rsid w:val="00357651"/>
    <w:rsid w:val="00360F78"/>
    <w:rsid w:val="0036356B"/>
    <w:rsid w:val="003669FB"/>
    <w:rsid w:val="003776AF"/>
    <w:rsid w:val="00381146"/>
    <w:rsid w:val="003849A8"/>
    <w:rsid w:val="00386122"/>
    <w:rsid w:val="003879B6"/>
    <w:rsid w:val="00390239"/>
    <w:rsid w:val="00390D63"/>
    <w:rsid w:val="00391B04"/>
    <w:rsid w:val="00391D86"/>
    <w:rsid w:val="00393820"/>
    <w:rsid w:val="003971E7"/>
    <w:rsid w:val="003A2601"/>
    <w:rsid w:val="003A3BF9"/>
    <w:rsid w:val="003A58AC"/>
    <w:rsid w:val="003B3259"/>
    <w:rsid w:val="003B34DF"/>
    <w:rsid w:val="003B6580"/>
    <w:rsid w:val="003B65CD"/>
    <w:rsid w:val="003B66AE"/>
    <w:rsid w:val="003B73A4"/>
    <w:rsid w:val="003B78FC"/>
    <w:rsid w:val="003C0410"/>
    <w:rsid w:val="003C06F3"/>
    <w:rsid w:val="003C1D62"/>
    <w:rsid w:val="003C3101"/>
    <w:rsid w:val="003C4286"/>
    <w:rsid w:val="003D0696"/>
    <w:rsid w:val="003D44E2"/>
    <w:rsid w:val="003D4D04"/>
    <w:rsid w:val="003D7742"/>
    <w:rsid w:val="003E2C3F"/>
    <w:rsid w:val="003E3631"/>
    <w:rsid w:val="003E52A1"/>
    <w:rsid w:val="003E5F70"/>
    <w:rsid w:val="003F317A"/>
    <w:rsid w:val="003F4A97"/>
    <w:rsid w:val="003F62E5"/>
    <w:rsid w:val="003F6DE3"/>
    <w:rsid w:val="00401413"/>
    <w:rsid w:val="00401FC8"/>
    <w:rsid w:val="0040344F"/>
    <w:rsid w:val="00404D13"/>
    <w:rsid w:val="00407AFE"/>
    <w:rsid w:val="00411BCD"/>
    <w:rsid w:val="00415135"/>
    <w:rsid w:val="00416464"/>
    <w:rsid w:val="00417E7F"/>
    <w:rsid w:val="00421662"/>
    <w:rsid w:val="004301F9"/>
    <w:rsid w:val="004330A0"/>
    <w:rsid w:val="004338FA"/>
    <w:rsid w:val="0043551F"/>
    <w:rsid w:val="00437315"/>
    <w:rsid w:val="004407EB"/>
    <w:rsid w:val="00440FEA"/>
    <w:rsid w:val="004437A3"/>
    <w:rsid w:val="0044392B"/>
    <w:rsid w:val="00444BFD"/>
    <w:rsid w:val="00444F74"/>
    <w:rsid w:val="004452AC"/>
    <w:rsid w:val="00445EFE"/>
    <w:rsid w:val="004476CC"/>
    <w:rsid w:val="00451172"/>
    <w:rsid w:val="00456680"/>
    <w:rsid w:val="00457FD3"/>
    <w:rsid w:val="00461092"/>
    <w:rsid w:val="00461915"/>
    <w:rsid w:val="00462BDD"/>
    <w:rsid w:val="00462FC1"/>
    <w:rsid w:val="0047023B"/>
    <w:rsid w:val="00472F54"/>
    <w:rsid w:val="00474D77"/>
    <w:rsid w:val="004765BB"/>
    <w:rsid w:val="0048324A"/>
    <w:rsid w:val="0048475F"/>
    <w:rsid w:val="004868F6"/>
    <w:rsid w:val="00487392"/>
    <w:rsid w:val="00493F4A"/>
    <w:rsid w:val="00494771"/>
    <w:rsid w:val="004A27BC"/>
    <w:rsid w:val="004A3B72"/>
    <w:rsid w:val="004A5252"/>
    <w:rsid w:val="004B32AF"/>
    <w:rsid w:val="004B4FD3"/>
    <w:rsid w:val="004B7218"/>
    <w:rsid w:val="004B7A70"/>
    <w:rsid w:val="004C3B35"/>
    <w:rsid w:val="004C721C"/>
    <w:rsid w:val="004D061D"/>
    <w:rsid w:val="004D15A8"/>
    <w:rsid w:val="004D3659"/>
    <w:rsid w:val="004D6D6E"/>
    <w:rsid w:val="004D74F3"/>
    <w:rsid w:val="004E1D29"/>
    <w:rsid w:val="004E2608"/>
    <w:rsid w:val="004E3355"/>
    <w:rsid w:val="004E59A2"/>
    <w:rsid w:val="004F1978"/>
    <w:rsid w:val="004F4FF8"/>
    <w:rsid w:val="005005BE"/>
    <w:rsid w:val="00500DEE"/>
    <w:rsid w:val="005019B8"/>
    <w:rsid w:val="00505C4D"/>
    <w:rsid w:val="00513146"/>
    <w:rsid w:val="00514104"/>
    <w:rsid w:val="0052434C"/>
    <w:rsid w:val="00524D90"/>
    <w:rsid w:val="00526D11"/>
    <w:rsid w:val="00527153"/>
    <w:rsid w:val="0052718C"/>
    <w:rsid w:val="00527335"/>
    <w:rsid w:val="00532857"/>
    <w:rsid w:val="00532A58"/>
    <w:rsid w:val="00532C63"/>
    <w:rsid w:val="005350D5"/>
    <w:rsid w:val="00535167"/>
    <w:rsid w:val="00537D28"/>
    <w:rsid w:val="005409AE"/>
    <w:rsid w:val="00542A9A"/>
    <w:rsid w:val="00544EFD"/>
    <w:rsid w:val="00545B8C"/>
    <w:rsid w:val="005476CF"/>
    <w:rsid w:val="00550281"/>
    <w:rsid w:val="0055106E"/>
    <w:rsid w:val="0055113A"/>
    <w:rsid w:val="0055159A"/>
    <w:rsid w:val="00554463"/>
    <w:rsid w:val="00560582"/>
    <w:rsid w:val="00561A8A"/>
    <w:rsid w:val="005634F2"/>
    <w:rsid w:val="005643FF"/>
    <w:rsid w:val="005666F2"/>
    <w:rsid w:val="005673A5"/>
    <w:rsid w:val="0056755F"/>
    <w:rsid w:val="0057029B"/>
    <w:rsid w:val="0057098A"/>
    <w:rsid w:val="00570CDF"/>
    <w:rsid w:val="00571028"/>
    <w:rsid w:val="005714C1"/>
    <w:rsid w:val="005716D2"/>
    <w:rsid w:val="0057174B"/>
    <w:rsid w:val="00574659"/>
    <w:rsid w:val="005803D3"/>
    <w:rsid w:val="0058085C"/>
    <w:rsid w:val="005827AF"/>
    <w:rsid w:val="00582911"/>
    <w:rsid w:val="005835D7"/>
    <w:rsid w:val="00584C5A"/>
    <w:rsid w:val="005859E1"/>
    <w:rsid w:val="0058666B"/>
    <w:rsid w:val="00590BB5"/>
    <w:rsid w:val="00592167"/>
    <w:rsid w:val="00592463"/>
    <w:rsid w:val="005A1B74"/>
    <w:rsid w:val="005A4431"/>
    <w:rsid w:val="005A6679"/>
    <w:rsid w:val="005A7A62"/>
    <w:rsid w:val="005B28A5"/>
    <w:rsid w:val="005B2EEA"/>
    <w:rsid w:val="005B4AAA"/>
    <w:rsid w:val="005B50C7"/>
    <w:rsid w:val="005B5719"/>
    <w:rsid w:val="005B5D23"/>
    <w:rsid w:val="005C00AC"/>
    <w:rsid w:val="005C1B2A"/>
    <w:rsid w:val="005C46AE"/>
    <w:rsid w:val="005D00C5"/>
    <w:rsid w:val="005D64F1"/>
    <w:rsid w:val="005D6AE7"/>
    <w:rsid w:val="005E0B8C"/>
    <w:rsid w:val="005E1057"/>
    <w:rsid w:val="005E14EA"/>
    <w:rsid w:val="005E4D67"/>
    <w:rsid w:val="005E4DB2"/>
    <w:rsid w:val="005E66FE"/>
    <w:rsid w:val="005E7D84"/>
    <w:rsid w:val="005F0774"/>
    <w:rsid w:val="005F2E90"/>
    <w:rsid w:val="005F3185"/>
    <w:rsid w:val="005F3CEC"/>
    <w:rsid w:val="005F433F"/>
    <w:rsid w:val="005F76C8"/>
    <w:rsid w:val="005F7C2D"/>
    <w:rsid w:val="0060765E"/>
    <w:rsid w:val="006131C5"/>
    <w:rsid w:val="006139AB"/>
    <w:rsid w:val="006154DF"/>
    <w:rsid w:val="00615521"/>
    <w:rsid w:val="00616286"/>
    <w:rsid w:val="00616F1A"/>
    <w:rsid w:val="00621CB5"/>
    <w:rsid w:val="00622A2A"/>
    <w:rsid w:val="00622CFD"/>
    <w:rsid w:val="00624393"/>
    <w:rsid w:val="00625D92"/>
    <w:rsid w:val="00631A8A"/>
    <w:rsid w:val="00631F6E"/>
    <w:rsid w:val="00632D7C"/>
    <w:rsid w:val="006330EF"/>
    <w:rsid w:val="00634E4B"/>
    <w:rsid w:val="00635437"/>
    <w:rsid w:val="00640774"/>
    <w:rsid w:val="0064664C"/>
    <w:rsid w:val="00650BE7"/>
    <w:rsid w:val="00652766"/>
    <w:rsid w:val="00652879"/>
    <w:rsid w:val="00655670"/>
    <w:rsid w:val="00664A64"/>
    <w:rsid w:val="0066600C"/>
    <w:rsid w:val="0066681C"/>
    <w:rsid w:val="006671CE"/>
    <w:rsid w:val="00671603"/>
    <w:rsid w:val="006722C3"/>
    <w:rsid w:val="00673C9D"/>
    <w:rsid w:val="00674A47"/>
    <w:rsid w:val="00681B8E"/>
    <w:rsid w:val="00683F46"/>
    <w:rsid w:val="0068401E"/>
    <w:rsid w:val="00684999"/>
    <w:rsid w:val="0069180F"/>
    <w:rsid w:val="00692570"/>
    <w:rsid w:val="00696C19"/>
    <w:rsid w:val="006A44EB"/>
    <w:rsid w:val="006A669F"/>
    <w:rsid w:val="006B2112"/>
    <w:rsid w:val="006B4611"/>
    <w:rsid w:val="006B4C6A"/>
    <w:rsid w:val="006B64DD"/>
    <w:rsid w:val="006C2921"/>
    <w:rsid w:val="006C2A8D"/>
    <w:rsid w:val="006C3566"/>
    <w:rsid w:val="006C3B7F"/>
    <w:rsid w:val="006C3E29"/>
    <w:rsid w:val="006C3FD3"/>
    <w:rsid w:val="006C525D"/>
    <w:rsid w:val="006D0ACF"/>
    <w:rsid w:val="006D32DB"/>
    <w:rsid w:val="006D52F8"/>
    <w:rsid w:val="006D5E59"/>
    <w:rsid w:val="006E7F7D"/>
    <w:rsid w:val="006F01AD"/>
    <w:rsid w:val="006F0447"/>
    <w:rsid w:val="006F5CD8"/>
    <w:rsid w:val="006F68DE"/>
    <w:rsid w:val="006F7091"/>
    <w:rsid w:val="007059D6"/>
    <w:rsid w:val="00706FC7"/>
    <w:rsid w:val="00715F7B"/>
    <w:rsid w:val="00717819"/>
    <w:rsid w:val="007207D2"/>
    <w:rsid w:val="00720F21"/>
    <w:rsid w:val="00722573"/>
    <w:rsid w:val="00731E43"/>
    <w:rsid w:val="007346F3"/>
    <w:rsid w:val="0073629C"/>
    <w:rsid w:val="0073714F"/>
    <w:rsid w:val="00737E30"/>
    <w:rsid w:val="00741B05"/>
    <w:rsid w:val="007423AF"/>
    <w:rsid w:val="00745E11"/>
    <w:rsid w:val="00751843"/>
    <w:rsid w:val="007548A6"/>
    <w:rsid w:val="00755153"/>
    <w:rsid w:val="007674B6"/>
    <w:rsid w:val="007676C7"/>
    <w:rsid w:val="00770C8C"/>
    <w:rsid w:val="00771067"/>
    <w:rsid w:val="0077227D"/>
    <w:rsid w:val="00781874"/>
    <w:rsid w:val="007820B6"/>
    <w:rsid w:val="00784F1B"/>
    <w:rsid w:val="00785EAF"/>
    <w:rsid w:val="00785F81"/>
    <w:rsid w:val="00786725"/>
    <w:rsid w:val="007876AC"/>
    <w:rsid w:val="00791F4C"/>
    <w:rsid w:val="00795DF5"/>
    <w:rsid w:val="00796D9B"/>
    <w:rsid w:val="007A2D8F"/>
    <w:rsid w:val="007A4324"/>
    <w:rsid w:val="007A4718"/>
    <w:rsid w:val="007A5FCF"/>
    <w:rsid w:val="007A6DC9"/>
    <w:rsid w:val="007B1300"/>
    <w:rsid w:val="007B1F5C"/>
    <w:rsid w:val="007B280C"/>
    <w:rsid w:val="007B292B"/>
    <w:rsid w:val="007B572F"/>
    <w:rsid w:val="007B73FA"/>
    <w:rsid w:val="007C08BF"/>
    <w:rsid w:val="007C5BF2"/>
    <w:rsid w:val="007D1BC2"/>
    <w:rsid w:val="007D30B6"/>
    <w:rsid w:val="007D374C"/>
    <w:rsid w:val="007D3D06"/>
    <w:rsid w:val="007D3E98"/>
    <w:rsid w:val="007D6533"/>
    <w:rsid w:val="007D6A5F"/>
    <w:rsid w:val="007E0D6E"/>
    <w:rsid w:val="007E11E9"/>
    <w:rsid w:val="007E1699"/>
    <w:rsid w:val="007E53C3"/>
    <w:rsid w:val="007E5960"/>
    <w:rsid w:val="007E76BD"/>
    <w:rsid w:val="007F24A6"/>
    <w:rsid w:val="007F55EF"/>
    <w:rsid w:val="008002A1"/>
    <w:rsid w:val="00803C1C"/>
    <w:rsid w:val="00805392"/>
    <w:rsid w:val="008066F0"/>
    <w:rsid w:val="00810C32"/>
    <w:rsid w:val="008130B1"/>
    <w:rsid w:val="00815A19"/>
    <w:rsid w:val="00815F52"/>
    <w:rsid w:val="008174A5"/>
    <w:rsid w:val="00817606"/>
    <w:rsid w:val="00817969"/>
    <w:rsid w:val="00822299"/>
    <w:rsid w:val="008258F9"/>
    <w:rsid w:val="00842DCC"/>
    <w:rsid w:val="0084397B"/>
    <w:rsid w:val="00847591"/>
    <w:rsid w:val="008511F6"/>
    <w:rsid w:val="008531D0"/>
    <w:rsid w:val="008619E4"/>
    <w:rsid w:val="008632E3"/>
    <w:rsid w:val="0086632E"/>
    <w:rsid w:val="008702A0"/>
    <w:rsid w:val="00874F98"/>
    <w:rsid w:val="008769E8"/>
    <w:rsid w:val="00876FE7"/>
    <w:rsid w:val="0088032E"/>
    <w:rsid w:val="00880EBA"/>
    <w:rsid w:val="00883219"/>
    <w:rsid w:val="00883917"/>
    <w:rsid w:val="00886303"/>
    <w:rsid w:val="00886898"/>
    <w:rsid w:val="008876ED"/>
    <w:rsid w:val="0089375D"/>
    <w:rsid w:val="00893BE5"/>
    <w:rsid w:val="00895F8D"/>
    <w:rsid w:val="00896557"/>
    <w:rsid w:val="008978E1"/>
    <w:rsid w:val="008A0502"/>
    <w:rsid w:val="008A41CC"/>
    <w:rsid w:val="008A5317"/>
    <w:rsid w:val="008A638A"/>
    <w:rsid w:val="008B79C8"/>
    <w:rsid w:val="008C0E6B"/>
    <w:rsid w:val="008C1517"/>
    <w:rsid w:val="008C2980"/>
    <w:rsid w:val="008C33C6"/>
    <w:rsid w:val="008C4C32"/>
    <w:rsid w:val="008C6621"/>
    <w:rsid w:val="008C78E1"/>
    <w:rsid w:val="008D169B"/>
    <w:rsid w:val="008D291C"/>
    <w:rsid w:val="008D2A82"/>
    <w:rsid w:val="008D2D48"/>
    <w:rsid w:val="008D353E"/>
    <w:rsid w:val="008E3AB4"/>
    <w:rsid w:val="008E3BCD"/>
    <w:rsid w:val="008E4A06"/>
    <w:rsid w:val="008F5C84"/>
    <w:rsid w:val="008F64C5"/>
    <w:rsid w:val="008F7910"/>
    <w:rsid w:val="00901CDF"/>
    <w:rsid w:val="00901EF9"/>
    <w:rsid w:val="00906C10"/>
    <w:rsid w:val="00906DA0"/>
    <w:rsid w:val="00911EA9"/>
    <w:rsid w:val="00913E34"/>
    <w:rsid w:val="00915200"/>
    <w:rsid w:val="00921ACB"/>
    <w:rsid w:val="00921E13"/>
    <w:rsid w:val="009220D6"/>
    <w:rsid w:val="00922A48"/>
    <w:rsid w:val="00926B48"/>
    <w:rsid w:val="00927C2A"/>
    <w:rsid w:val="00930371"/>
    <w:rsid w:val="0093115E"/>
    <w:rsid w:val="009322AF"/>
    <w:rsid w:val="0093619E"/>
    <w:rsid w:val="00936B55"/>
    <w:rsid w:val="009422AC"/>
    <w:rsid w:val="00944683"/>
    <w:rsid w:val="00946745"/>
    <w:rsid w:val="00946779"/>
    <w:rsid w:val="00946882"/>
    <w:rsid w:val="0095324B"/>
    <w:rsid w:val="009537BC"/>
    <w:rsid w:val="009540E0"/>
    <w:rsid w:val="0095423A"/>
    <w:rsid w:val="009547EF"/>
    <w:rsid w:val="00957059"/>
    <w:rsid w:val="00961B5F"/>
    <w:rsid w:val="00962113"/>
    <w:rsid w:val="00962951"/>
    <w:rsid w:val="009629C6"/>
    <w:rsid w:val="00967426"/>
    <w:rsid w:val="00967866"/>
    <w:rsid w:val="00967F0A"/>
    <w:rsid w:val="0097354B"/>
    <w:rsid w:val="009742E4"/>
    <w:rsid w:val="0097532C"/>
    <w:rsid w:val="00976F88"/>
    <w:rsid w:val="00980512"/>
    <w:rsid w:val="00984432"/>
    <w:rsid w:val="00985BC2"/>
    <w:rsid w:val="00986789"/>
    <w:rsid w:val="00987A1B"/>
    <w:rsid w:val="00990E90"/>
    <w:rsid w:val="00992B25"/>
    <w:rsid w:val="00992B76"/>
    <w:rsid w:val="00993C28"/>
    <w:rsid w:val="00994FC3"/>
    <w:rsid w:val="009A0E8A"/>
    <w:rsid w:val="009A16EF"/>
    <w:rsid w:val="009A3B27"/>
    <w:rsid w:val="009A79E5"/>
    <w:rsid w:val="009B15AE"/>
    <w:rsid w:val="009B3CEA"/>
    <w:rsid w:val="009B40BF"/>
    <w:rsid w:val="009B512B"/>
    <w:rsid w:val="009B537B"/>
    <w:rsid w:val="009B643E"/>
    <w:rsid w:val="009B70B5"/>
    <w:rsid w:val="009C1B02"/>
    <w:rsid w:val="009C235E"/>
    <w:rsid w:val="009C2842"/>
    <w:rsid w:val="009C3168"/>
    <w:rsid w:val="009C5828"/>
    <w:rsid w:val="009D14D4"/>
    <w:rsid w:val="009D25CA"/>
    <w:rsid w:val="009D3306"/>
    <w:rsid w:val="009D6265"/>
    <w:rsid w:val="009D7A28"/>
    <w:rsid w:val="009E56C0"/>
    <w:rsid w:val="009E64F2"/>
    <w:rsid w:val="009E791F"/>
    <w:rsid w:val="009F022C"/>
    <w:rsid w:val="009F1966"/>
    <w:rsid w:val="009F2EB6"/>
    <w:rsid w:val="009F3BEA"/>
    <w:rsid w:val="009F40B0"/>
    <w:rsid w:val="009F63DF"/>
    <w:rsid w:val="00A00D57"/>
    <w:rsid w:val="00A019E4"/>
    <w:rsid w:val="00A07E6D"/>
    <w:rsid w:val="00A12C20"/>
    <w:rsid w:val="00A223F7"/>
    <w:rsid w:val="00A247AD"/>
    <w:rsid w:val="00A26C96"/>
    <w:rsid w:val="00A27E8F"/>
    <w:rsid w:val="00A34991"/>
    <w:rsid w:val="00A35AC8"/>
    <w:rsid w:val="00A35AE1"/>
    <w:rsid w:val="00A50AC9"/>
    <w:rsid w:val="00A52FAE"/>
    <w:rsid w:val="00A535C4"/>
    <w:rsid w:val="00A54E2A"/>
    <w:rsid w:val="00A55738"/>
    <w:rsid w:val="00A55F3C"/>
    <w:rsid w:val="00A57D38"/>
    <w:rsid w:val="00A605B9"/>
    <w:rsid w:val="00A60817"/>
    <w:rsid w:val="00A652C6"/>
    <w:rsid w:val="00A66C09"/>
    <w:rsid w:val="00A66FE0"/>
    <w:rsid w:val="00A73B50"/>
    <w:rsid w:val="00A74177"/>
    <w:rsid w:val="00A752B0"/>
    <w:rsid w:val="00A80531"/>
    <w:rsid w:val="00A82EA0"/>
    <w:rsid w:val="00A82F7C"/>
    <w:rsid w:val="00A84375"/>
    <w:rsid w:val="00A84404"/>
    <w:rsid w:val="00A87C21"/>
    <w:rsid w:val="00AA11D8"/>
    <w:rsid w:val="00AA14EF"/>
    <w:rsid w:val="00AA1DD0"/>
    <w:rsid w:val="00AA65A0"/>
    <w:rsid w:val="00AB4B2A"/>
    <w:rsid w:val="00AC0E01"/>
    <w:rsid w:val="00AC1660"/>
    <w:rsid w:val="00AC4A17"/>
    <w:rsid w:val="00AD109E"/>
    <w:rsid w:val="00AD3E21"/>
    <w:rsid w:val="00AD53D4"/>
    <w:rsid w:val="00AD6060"/>
    <w:rsid w:val="00AD69DE"/>
    <w:rsid w:val="00AE0166"/>
    <w:rsid w:val="00AE0EF1"/>
    <w:rsid w:val="00AE2735"/>
    <w:rsid w:val="00AE316C"/>
    <w:rsid w:val="00AE4175"/>
    <w:rsid w:val="00AE44AA"/>
    <w:rsid w:val="00AE56FA"/>
    <w:rsid w:val="00AF7500"/>
    <w:rsid w:val="00B0101A"/>
    <w:rsid w:val="00B01BD4"/>
    <w:rsid w:val="00B139AD"/>
    <w:rsid w:val="00B15A7A"/>
    <w:rsid w:val="00B217FB"/>
    <w:rsid w:val="00B23F6A"/>
    <w:rsid w:val="00B346A9"/>
    <w:rsid w:val="00B35BA8"/>
    <w:rsid w:val="00B364BC"/>
    <w:rsid w:val="00B36EDD"/>
    <w:rsid w:val="00B4023B"/>
    <w:rsid w:val="00B41205"/>
    <w:rsid w:val="00B4407D"/>
    <w:rsid w:val="00B452C5"/>
    <w:rsid w:val="00B50040"/>
    <w:rsid w:val="00B50301"/>
    <w:rsid w:val="00B50E7D"/>
    <w:rsid w:val="00B53F89"/>
    <w:rsid w:val="00B607FB"/>
    <w:rsid w:val="00B648BB"/>
    <w:rsid w:val="00B662BE"/>
    <w:rsid w:val="00B711DB"/>
    <w:rsid w:val="00B72A80"/>
    <w:rsid w:val="00B76500"/>
    <w:rsid w:val="00B77EEA"/>
    <w:rsid w:val="00B80AE5"/>
    <w:rsid w:val="00B826C2"/>
    <w:rsid w:val="00B8293D"/>
    <w:rsid w:val="00B85279"/>
    <w:rsid w:val="00B857BB"/>
    <w:rsid w:val="00B90920"/>
    <w:rsid w:val="00B90D37"/>
    <w:rsid w:val="00B90DC2"/>
    <w:rsid w:val="00B91DD2"/>
    <w:rsid w:val="00B936BB"/>
    <w:rsid w:val="00BA1BB8"/>
    <w:rsid w:val="00BA6D42"/>
    <w:rsid w:val="00BB0359"/>
    <w:rsid w:val="00BB15AF"/>
    <w:rsid w:val="00BB1DB2"/>
    <w:rsid w:val="00BB288E"/>
    <w:rsid w:val="00BB3186"/>
    <w:rsid w:val="00BB463C"/>
    <w:rsid w:val="00BB5DBA"/>
    <w:rsid w:val="00BB6D27"/>
    <w:rsid w:val="00BC2D90"/>
    <w:rsid w:val="00BC34BB"/>
    <w:rsid w:val="00BC36B5"/>
    <w:rsid w:val="00BC6050"/>
    <w:rsid w:val="00BD2774"/>
    <w:rsid w:val="00BD2DFF"/>
    <w:rsid w:val="00BD33CF"/>
    <w:rsid w:val="00BD3B2F"/>
    <w:rsid w:val="00BD41E1"/>
    <w:rsid w:val="00BD5145"/>
    <w:rsid w:val="00BE15BB"/>
    <w:rsid w:val="00BE785C"/>
    <w:rsid w:val="00BF0607"/>
    <w:rsid w:val="00BF099F"/>
    <w:rsid w:val="00BF1370"/>
    <w:rsid w:val="00BF3061"/>
    <w:rsid w:val="00BF39EB"/>
    <w:rsid w:val="00BF6C10"/>
    <w:rsid w:val="00BF6EF0"/>
    <w:rsid w:val="00BF7B69"/>
    <w:rsid w:val="00C02B06"/>
    <w:rsid w:val="00C04123"/>
    <w:rsid w:val="00C05159"/>
    <w:rsid w:val="00C05C55"/>
    <w:rsid w:val="00C06B99"/>
    <w:rsid w:val="00C13642"/>
    <w:rsid w:val="00C137DA"/>
    <w:rsid w:val="00C15B74"/>
    <w:rsid w:val="00C16DBD"/>
    <w:rsid w:val="00C2154F"/>
    <w:rsid w:val="00C24EA6"/>
    <w:rsid w:val="00C257FF"/>
    <w:rsid w:val="00C267B0"/>
    <w:rsid w:val="00C27897"/>
    <w:rsid w:val="00C32681"/>
    <w:rsid w:val="00C33E99"/>
    <w:rsid w:val="00C3440C"/>
    <w:rsid w:val="00C36E7F"/>
    <w:rsid w:val="00C371FC"/>
    <w:rsid w:val="00C40699"/>
    <w:rsid w:val="00C4194C"/>
    <w:rsid w:val="00C46CD2"/>
    <w:rsid w:val="00C505E3"/>
    <w:rsid w:val="00C51240"/>
    <w:rsid w:val="00C514B4"/>
    <w:rsid w:val="00C52D69"/>
    <w:rsid w:val="00C54044"/>
    <w:rsid w:val="00C549FF"/>
    <w:rsid w:val="00C62A66"/>
    <w:rsid w:val="00C6418F"/>
    <w:rsid w:val="00C644E4"/>
    <w:rsid w:val="00C67789"/>
    <w:rsid w:val="00C74174"/>
    <w:rsid w:val="00C75727"/>
    <w:rsid w:val="00C75E2C"/>
    <w:rsid w:val="00C7632A"/>
    <w:rsid w:val="00C76E49"/>
    <w:rsid w:val="00C8073C"/>
    <w:rsid w:val="00C814DF"/>
    <w:rsid w:val="00C82F21"/>
    <w:rsid w:val="00C870D3"/>
    <w:rsid w:val="00C87954"/>
    <w:rsid w:val="00C90BF0"/>
    <w:rsid w:val="00C94700"/>
    <w:rsid w:val="00C95015"/>
    <w:rsid w:val="00C96C53"/>
    <w:rsid w:val="00CA2066"/>
    <w:rsid w:val="00CA238A"/>
    <w:rsid w:val="00CA55B6"/>
    <w:rsid w:val="00CA670D"/>
    <w:rsid w:val="00CB5F60"/>
    <w:rsid w:val="00CC0910"/>
    <w:rsid w:val="00CC2BD5"/>
    <w:rsid w:val="00CD2FF8"/>
    <w:rsid w:val="00CD425F"/>
    <w:rsid w:val="00CD590D"/>
    <w:rsid w:val="00CD7E70"/>
    <w:rsid w:val="00CE0C0D"/>
    <w:rsid w:val="00CE429C"/>
    <w:rsid w:val="00CE516B"/>
    <w:rsid w:val="00CF0B59"/>
    <w:rsid w:val="00CF12A2"/>
    <w:rsid w:val="00D05E09"/>
    <w:rsid w:val="00D06F79"/>
    <w:rsid w:val="00D1053B"/>
    <w:rsid w:val="00D1186B"/>
    <w:rsid w:val="00D13D7E"/>
    <w:rsid w:val="00D16EBC"/>
    <w:rsid w:val="00D204AD"/>
    <w:rsid w:val="00D20BA6"/>
    <w:rsid w:val="00D24167"/>
    <w:rsid w:val="00D24E16"/>
    <w:rsid w:val="00D27C63"/>
    <w:rsid w:val="00D30917"/>
    <w:rsid w:val="00D31CA4"/>
    <w:rsid w:val="00D36C9D"/>
    <w:rsid w:val="00D4046B"/>
    <w:rsid w:val="00D40BA2"/>
    <w:rsid w:val="00D40D24"/>
    <w:rsid w:val="00D419B6"/>
    <w:rsid w:val="00D42032"/>
    <w:rsid w:val="00D4381B"/>
    <w:rsid w:val="00D444B0"/>
    <w:rsid w:val="00D4664B"/>
    <w:rsid w:val="00D467E6"/>
    <w:rsid w:val="00D46BDC"/>
    <w:rsid w:val="00D47021"/>
    <w:rsid w:val="00D50639"/>
    <w:rsid w:val="00D5797F"/>
    <w:rsid w:val="00D64123"/>
    <w:rsid w:val="00D64B21"/>
    <w:rsid w:val="00D71FB8"/>
    <w:rsid w:val="00D720C0"/>
    <w:rsid w:val="00D73099"/>
    <w:rsid w:val="00D73B3C"/>
    <w:rsid w:val="00D75059"/>
    <w:rsid w:val="00D812C5"/>
    <w:rsid w:val="00D87FEA"/>
    <w:rsid w:val="00D90C04"/>
    <w:rsid w:val="00D939E6"/>
    <w:rsid w:val="00D9435E"/>
    <w:rsid w:val="00D9500B"/>
    <w:rsid w:val="00D954A1"/>
    <w:rsid w:val="00D954A3"/>
    <w:rsid w:val="00DA0611"/>
    <w:rsid w:val="00DA1B68"/>
    <w:rsid w:val="00DA20D7"/>
    <w:rsid w:val="00DA6B45"/>
    <w:rsid w:val="00DA6EB9"/>
    <w:rsid w:val="00DB0E29"/>
    <w:rsid w:val="00DB0ED6"/>
    <w:rsid w:val="00DB1FC0"/>
    <w:rsid w:val="00DB21F6"/>
    <w:rsid w:val="00DB40A6"/>
    <w:rsid w:val="00DB6641"/>
    <w:rsid w:val="00DC242A"/>
    <w:rsid w:val="00DC2E96"/>
    <w:rsid w:val="00DD1031"/>
    <w:rsid w:val="00DD7864"/>
    <w:rsid w:val="00DD7A40"/>
    <w:rsid w:val="00DE2C2B"/>
    <w:rsid w:val="00DE5869"/>
    <w:rsid w:val="00DE680D"/>
    <w:rsid w:val="00DE6B08"/>
    <w:rsid w:val="00DF192E"/>
    <w:rsid w:val="00DF3EAA"/>
    <w:rsid w:val="00DF5935"/>
    <w:rsid w:val="00DF5983"/>
    <w:rsid w:val="00DF614E"/>
    <w:rsid w:val="00E00F3C"/>
    <w:rsid w:val="00E0280A"/>
    <w:rsid w:val="00E02A7B"/>
    <w:rsid w:val="00E047EE"/>
    <w:rsid w:val="00E0515F"/>
    <w:rsid w:val="00E056F8"/>
    <w:rsid w:val="00E07AA7"/>
    <w:rsid w:val="00E13674"/>
    <w:rsid w:val="00E14246"/>
    <w:rsid w:val="00E14A50"/>
    <w:rsid w:val="00E155AA"/>
    <w:rsid w:val="00E20DD6"/>
    <w:rsid w:val="00E22DE8"/>
    <w:rsid w:val="00E25325"/>
    <w:rsid w:val="00E275B5"/>
    <w:rsid w:val="00E27D24"/>
    <w:rsid w:val="00E37B2B"/>
    <w:rsid w:val="00E440C5"/>
    <w:rsid w:val="00E54CF3"/>
    <w:rsid w:val="00E56698"/>
    <w:rsid w:val="00E61369"/>
    <w:rsid w:val="00E6422D"/>
    <w:rsid w:val="00E71D00"/>
    <w:rsid w:val="00E720C0"/>
    <w:rsid w:val="00E728CC"/>
    <w:rsid w:val="00E74AF2"/>
    <w:rsid w:val="00E865B4"/>
    <w:rsid w:val="00E91477"/>
    <w:rsid w:val="00E92579"/>
    <w:rsid w:val="00EA4C33"/>
    <w:rsid w:val="00EA4E56"/>
    <w:rsid w:val="00EB1F12"/>
    <w:rsid w:val="00EB2D30"/>
    <w:rsid w:val="00EB4303"/>
    <w:rsid w:val="00EB53B7"/>
    <w:rsid w:val="00EC0955"/>
    <w:rsid w:val="00EC0BF3"/>
    <w:rsid w:val="00EC1000"/>
    <w:rsid w:val="00EC1DD6"/>
    <w:rsid w:val="00EC66EE"/>
    <w:rsid w:val="00EC6F0E"/>
    <w:rsid w:val="00ED00BC"/>
    <w:rsid w:val="00ED211E"/>
    <w:rsid w:val="00ED7FA6"/>
    <w:rsid w:val="00EE08B5"/>
    <w:rsid w:val="00EE2CC0"/>
    <w:rsid w:val="00EE3A1F"/>
    <w:rsid w:val="00EE6F27"/>
    <w:rsid w:val="00EE74A6"/>
    <w:rsid w:val="00EF068B"/>
    <w:rsid w:val="00EF617A"/>
    <w:rsid w:val="00F019EE"/>
    <w:rsid w:val="00F04E5C"/>
    <w:rsid w:val="00F05E86"/>
    <w:rsid w:val="00F132EE"/>
    <w:rsid w:val="00F13729"/>
    <w:rsid w:val="00F13F00"/>
    <w:rsid w:val="00F16C0B"/>
    <w:rsid w:val="00F1741A"/>
    <w:rsid w:val="00F17C11"/>
    <w:rsid w:val="00F230AC"/>
    <w:rsid w:val="00F2310C"/>
    <w:rsid w:val="00F24B93"/>
    <w:rsid w:val="00F265F4"/>
    <w:rsid w:val="00F32251"/>
    <w:rsid w:val="00F332DE"/>
    <w:rsid w:val="00F35557"/>
    <w:rsid w:val="00F356D7"/>
    <w:rsid w:val="00F37240"/>
    <w:rsid w:val="00F415F3"/>
    <w:rsid w:val="00F422F7"/>
    <w:rsid w:val="00F4410E"/>
    <w:rsid w:val="00F44FD2"/>
    <w:rsid w:val="00F45CBE"/>
    <w:rsid w:val="00F524BE"/>
    <w:rsid w:val="00F53430"/>
    <w:rsid w:val="00F55294"/>
    <w:rsid w:val="00F55EBA"/>
    <w:rsid w:val="00F56540"/>
    <w:rsid w:val="00F57C5B"/>
    <w:rsid w:val="00F609B1"/>
    <w:rsid w:val="00F61D5E"/>
    <w:rsid w:val="00F6302E"/>
    <w:rsid w:val="00F6346A"/>
    <w:rsid w:val="00F63CE4"/>
    <w:rsid w:val="00F6485E"/>
    <w:rsid w:val="00F66393"/>
    <w:rsid w:val="00F70D2D"/>
    <w:rsid w:val="00F744C4"/>
    <w:rsid w:val="00F75917"/>
    <w:rsid w:val="00F76319"/>
    <w:rsid w:val="00F84644"/>
    <w:rsid w:val="00F90836"/>
    <w:rsid w:val="00F9108A"/>
    <w:rsid w:val="00F97CF5"/>
    <w:rsid w:val="00FA299D"/>
    <w:rsid w:val="00FA5C8B"/>
    <w:rsid w:val="00FA64D0"/>
    <w:rsid w:val="00FB5C18"/>
    <w:rsid w:val="00FB5C55"/>
    <w:rsid w:val="00FC00B5"/>
    <w:rsid w:val="00FC0633"/>
    <w:rsid w:val="00FC2764"/>
    <w:rsid w:val="00FC5CC7"/>
    <w:rsid w:val="00FC5FCF"/>
    <w:rsid w:val="00FC622F"/>
    <w:rsid w:val="00FD0A97"/>
    <w:rsid w:val="00FD4258"/>
    <w:rsid w:val="00FD560D"/>
    <w:rsid w:val="00FE02DC"/>
    <w:rsid w:val="00FE2AC9"/>
    <w:rsid w:val="00FE418B"/>
    <w:rsid w:val="00FE47B7"/>
    <w:rsid w:val="00FE6774"/>
    <w:rsid w:val="00FE7FD1"/>
    <w:rsid w:val="00FF1053"/>
    <w:rsid w:val="00FF3227"/>
    <w:rsid w:val="00FF63B2"/>
    <w:rsid w:val="00FF7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E09"/>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AE7"/>
    <w:pPr>
      <w:spacing w:after="0" w:line="240" w:lineRule="auto"/>
    </w:pPr>
  </w:style>
  <w:style w:type="paragraph" w:styleId="Header">
    <w:name w:val="header"/>
    <w:basedOn w:val="Normal"/>
    <w:link w:val="HeaderChar"/>
    <w:uiPriority w:val="99"/>
    <w:semiHidden/>
    <w:unhideWhenUsed/>
    <w:rsid w:val="00D105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053B"/>
  </w:style>
  <w:style w:type="paragraph" w:styleId="Footer">
    <w:name w:val="footer"/>
    <w:basedOn w:val="Normal"/>
    <w:link w:val="FooterChar"/>
    <w:uiPriority w:val="99"/>
    <w:unhideWhenUsed/>
    <w:rsid w:val="00D10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53B"/>
  </w:style>
  <w:style w:type="paragraph" w:styleId="NormalWeb">
    <w:name w:val="Normal (Web)"/>
    <w:basedOn w:val="Normal"/>
    <w:uiPriority w:val="99"/>
    <w:unhideWhenUsed/>
    <w:rsid w:val="00FF7F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FF7F41"/>
  </w:style>
  <w:style w:type="paragraph" w:styleId="BalloonText">
    <w:name w:val="Balloon Text"/>
    <w:basedOn w:val="Normal"/>
    <w:link w:val="BalloonTextChar"/>
    <w:uiPriority w:val="99"/>
    <w:semiHidden/>
    <w:unhideWhenUsed/>
    <w:rsid w:val="00FF7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F41"/>
    <w:rPr>
      <w:rFonts w:ascii="Tahoma" w:hAnsi="Tahoma" w:cs="Tahoma"/>
      <w:sz w:val="16"/>
      <w:szCs w:val="16"/>
      <w:lang w:val="en-IN"/>
    </w:rPr>
  </w:style>
  <w:style w:type="table" w:styleId="TableGrid">
    <w:name w:val="Table Grid"/>
    <w:basedOn w:val="TableNormal"/>
    <w:uiPriority w:val="39"/>
    <w:rsid w:val="00147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5FA4"/>
    <w:pPr>
      <w:spacing w:after="160" w:line="259" w:lineRule="auto"/>
      <w:ind w:left="720"/>
      <w:contextualSpacing/>
    </w:pPr>
  </w:style>
  <w:style w:type="paragraph" w:styleId="FootnoteText">
    <w:name w:val="footnote text"/>
    <w:basedOn w:val="Normal"/>
    <w:link w:val="FootnoteTextChar"/>
    <w:uiPriority w:val="99"/>
    <w:semiHidden/>
    <w:unhideWhenUsed/>
    <w:rsid w:val="00F97C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7CF5"/>
    <w:rPr>
      <w:sz w:val="20"/>
      <w:szCs w:val="20"/>
      <w:lang w:val="en-IN"/>
    </w:rPr>
  </w:style>
  <w:style w:type="character" w:styleId="FootnoteReference">
    <w:name w:val="footnote reference"/>
    <w:basedOn w:val="DefaultParagraphFont"/>
    <w:uiPriority w:val="99"/>
    <w:semiHidden/>
    <w:unhideWhenUsed/>
    <w:rsid w:val="00F97CF5"/>
    <w:rPr>
      <w:vertAlign w:val="superscript"/>
    </w:rPr>
  </w:style>
  <w:style w:type="character" w:styleId="CommentReference">
    <w:name w:val="annotation reference"/>
    <w:basedOn w:val="DefaultParagraphFont"/>
    <w:uiPriority w:val="99"/>
    <w:semiHidden/>
    <w:unhideWhenUsed/>
    <w:rsid w:val="00DC2E96"/>
    <w:rPr>
      <w:sz w:val="16"/>
      <w:szCs w:val="16"/>
    </w:rPr>
  </w:style>
  <w:style w:type="paragraph" w:styleId="CommentText">
    <w:name w:val="annotation text"/>
    <w:basedOn w:val="Normal"/>
    <w:link w:val="CommentTextChar"/>
    <w:uiPriority w:val="99"/>
    <w:semiHidden/>
    <w:unhideWhenUsed/>
    <w:rsid w:val="00DC2E96"/>
    <w:pPr>
      <w:spacing w:line="240" w:lineRule="auto"/>
    </w:pPr>
    <w:rPr>
      <w:sz w:val="20"/>
      <w:szCs w:val="20"/>
    </w:rPr>
  </w:style>
  <w:style w:type="character" w:customStyle="1" w:styleId="CommentTextChar">
    <w:name w:val="Comment Text Char"/>
    <w:basedOn w:val="DefaultParagraphFont"/>
    <w:link w:val="CommentText"/>
    <w:uiPriority w:val="99"/>
    <w:semiHidden/>
    <w:rsid w:val="00DC2E96"/>
    <w:rPr>
      <w:sz w:val="20"/>
      <w:szCs w:val="20"/>
      <w:lang w:val="en-IN"/>
    </w:rPr>
  </w:style>
  <w:style w:type="paragraph" w:styleId="CommentSubject">
    <w:name w:val="annotation subject"/>
    <w:basedOn w:val="CommentText"/>
    <w:next w:val="CommentText"/>
    <w:link w:val="CommentSubjectChar"/>
    <w:uiPriority w:val="99"/>
    <w:semiHidden/>
    <w:unhideWhenUsed/>
    <w:rsid w:val="00DC2E96"/>
    <w:rPr>
      <w:b/>
      <w:bCs/>
    </w:rPr>
  </w:style>
  <w:style w:type="character" w:customStyle="1" w:styleId="CommentSubjectChar">
    <w:name w:val="Comment Subject Char"/>
    <w:basedOn w:val="CommentTextChar"/>
    <w:link w:val="CommentSubject"/>
    <w:uiPriority w:val="99"/>
    <w:semiHidden/>
    <w:rsid w:val="00DC2E96"/>
    <w:rPr>
      <w:b/>
      <w:bCs/>
      <w:sz w:val="20"/>
      <w:szCs w:val="20"/>
      <w:lang w:val="en-IN"/>
    </w:rPr>
  </w:style>
</w:styles>
</file>

<file path=word/webSettings.xml><?xml version="1.0" encoding="utf-8"?>
<w:webSettings xmlns:r="http://schemas.openxmlformats.org/officeDocument/2006/relationships" xmlns:w="http://schemas.openxmlformats.org/wordprocessingml/2006/main">
  <w:divs>
    <w:div w:id="506940663">
      <w:bodyDiv w:val="1"/>
      <w:marLeft w:val="0"/>
      <w:marRight w:val="0"/>
      <w:marTop w:val="0"/>
      <w:marBottom w:val="0"/>
      <w:divBdr>
        <w:top w:val="none" w:sz="0" w:space="0" w:color="auto"/>
        <w:left w:val="none" w:sz="0" w:space="0" w:color="auto"/>
        <w:bottom w:val="none" w:sz="0" w:space="0" w:color="auto"/>
        <w:right w:val="none" w:sz="0" w:space="0" w:color="auto"/>
      </w:divBdr>
      <w:divsChild>
        <w:div w:id="1717125347">
          <w:marLeft w:val="0"/>
          <w:marRight w:val="0"/>
          <w:marTop w:val="0"/>
          <w:marBottom w:val="0"/>
          <w:divBdr>
            <w:top w:val="none" w:sz="0" w:space="0" w:color="auto"/>
            <w:left w:val="none" w:sz="0" w:space="0" w:color="auto"/>
            <w:bottom w:val="none" w:sz="0" w:space="0" w:color="auto"/>
            <w:right w:val="none" w:sz="0" w:space="0" w:color="auto"/>
          </w:divBdr>
        </w:div>
        <w:div w:id="1645432198">
          <w:marLeft w:val="0"/>
          <w:marRight w:val="0"/>
          <w:marTop w:val="0"/>
          <w:marBottom w:val="0"/>
          <w:divBdr>
            <w:top w:val="none" w:sz="0" w:space="0" w:color="auto"/>
            <w:left w:val="none" w:sz="0" w:space="0" w:color="auto"/>
            <w:bottom w:val="none" w:sz="0" w:space="0" w:color="auto"/>
            <w:right w:val="none" w:sz="0" w:space="0" w:color="auto"/>
          </w:divBdr>
        </w:div>
      </w:divsChild>
    </w:div>
    <w:div w:id="786463240">
      <w:bodyDiv w:val="1"/>
      <w:marLeft w:val="0"/>
      <w:marRight w:val="0"/>
      <w:marTop w:val="0"/>
      <w:marBottom w:val="0"/>
      <w:divBdr>
        <w:top w:val="none" w:sz="0" w:space="0" w:color="auto"/>
        <w:left w:val="none" w:sz="0" w:space="0" w:color="auto"/>
        <w:bottom w:val="none" w:sz="0" w:space="0" w:color="auto"/>
        <w:right w:val="none" w:sz="0" w:space="0" w:color="auto"/>
      </w:divBdr>
      <w:divsChild>
        <w:div w:id="1032464405">
          <w:marLeft w:val="0"/>
          <w:marRight w:val="0"/>
          <w:marTop w:val="0"/>
          <w:marBottom w:val="0"/>
          <w:divBdr>
            <w:top w:val="none" w:sz="0" w:space="0" w:color="auto"/>
            <w:left w:val="none" w:sz="0" w:space="0" w:color="auto"/>
            <w:bottom w:val="none" w:sz="0" w:space="0" w:color="auto"/>
            <w:right w:val="none" w:sz="0" w:space="0" w:color="auto"/>
          </w:divBdr>
        </w:div>
      </w:divsChild>
    </w:div>
    <w:div w:id="1001397558">
      <w:bodyDiv w:val="1"/>
      <w:marLeft w:val="0"/>
      <w:marRight w:val="0"/>
      <w:marTop w:val="0"/>
      <w:marBottom w:val="0"/>
      <w:divBdr>
        <w:top w:val="none" w:sz="0" w:space="0" w:color="auto"/>
        <w:left w:val="none" w:sz="0" w:space="0" w:color="auto"/>
        <w:bottom w:val="none" w:sz="0" w:space="0" w:color="auto"/>
        <w:right w:val="none" w:sz="0" w:space="0" w:color="auto"/>
      </w:divBdr>
      <w:divsChild>
        <w:div w:id="479032011">
          <w:marLeft w:val="0"/>
          <w:marRight w:val="0"/>
          <w:marTop w:val="0"/>
          <w:marBottom w:val="0"/>
          <w:divBdr>
            <w:top w:val="none" w:sz="0" w:space="0" w:color="auto"/>
            <w:left w:val="none" w:sz="0" w:space="0" w:color="auto"/>
            <w:bottom w:val="none" w:sz="0" w:space="0" w:color="auto"/>
            <w:right w:val="none" w:sz="0" w:space="0" w:color="auto"/>
          </w:divBdr>
        </w:div>
        <w:div w:id="148791698">
          <w:marLeft w:val="0"/>
          <w:marRight w:val="0"/>
          <w:marTop w:val="0"/>
          <w:marBottom w:val="0"/>
          <w:divBdr>
            <w:top w:val="none" w:sz="0" w:space="0" w:color="auto"/>
            <w:left w:val="none" w:sz="0" w:space="0" w:color="auto"/>
            <w:bottom w:val="none" w:sz="0" w:space="0" w:color="auto"/>
            <w:right w:val="none" w:sz="0" w:space="0" w:color="auto"/>
          </w:divBdr>
        </w:div>
        <w:div w:id="983044215">
          <w:marLeft w:val="0"/>
          <w:marRight w:val="0"/>
          <w:marTop w:val="0"/>
          <w:marBottom w:val="0"/>
          <w:divBdr>
            <w:top w:val="none" w:sz="0" w:space="0" w:color="auto"/>
            <w:left w:val="none" w:sz="0" w:space="0" w:color="auto"/>
            <w:bottom w:val="none" w:sz="0" w:space="0" w:color="auto"/>
            <w:right w:val="none" w:sz="0" w:space="0" w:color="auto"/>
          </w:divBdr>
          <w:divsChild>
            <w:div w:id="1434473345">
              <w:marLeft w:val="0"/>
              <w:marRight w:val="0"/>
              <w:marTop w:val="0"/>
              <w:marBottom w:val="0"/>
              <w:divBdr>
                <w:top w:val="none" w:sz="0" w:space="0" w:color="auto"/>
                <w:left w:val="none" w:sz="0" w:space="0" w:color="auto"/>
                <w:bottom w:val="none" w:sz="0" w:space="0" w:color="auto"/>
                <w:right w:val="none" w:sz="0" w:space="0" w:color="auto"/>
              </w:divBdr>
            </w:div>
            <w:div w:id="533347212">
              <w:marLeft w:val="0"/>
              <w:marRight w:val="0"/>
              <w:marTop w:val="0"/>
              <w:marBottom w:val="0"/>
              <w:divBdr>
                <w:top w:val="none" w:sz="0" w:space="0" w:color="auto"/>
                <w:left w:val="none" w:sz="0" w:space="0" w:color="auto"/>
                <w:bottom w:val="none" w:sz="0" w:space="0" w:color="auto"/>
                <w:right w:val="none" w:sz="0" w:space="0" w:color="auto"/>
              </w:divBdr>
            </w:div>
            <w:div w:id="366567134">
              <w:marLeft w:val="0"/>
              <w:marRight w:val="0"/>
              <w:marTop w:val="0"/>
              <w:marBottom w:val="0"/>
              <w:divBdr>
                <w:top w:val="none" w:sz="0" w:space="0" w:color="auto"/>
                <w:left w:val="none" w:sz="0" w:space="0" w:color="auto"/>
                <w:bottom w:val="none" w:sz="0" w:space="0" w:color="auto"/>
                <w:right w:val="none" w:sz="0" w:space="0" w:color="auto"/>
              </w:divBdr>
            </w:div>
            <w:div w:id="400098978">
              <w:marLeft w:val="0"/>
              <w:marRight w:val="0"/>
              <w:marTop w:val="0"/>
              <w:marBottom w:val="0"/>
              <w:divBdr>
                <w:top w:val="none" w:sz="0" w:space="0" w:color="auto"/>
                <w:left w:val="none" w:sz="0" w:space="0" w:color="auto"/>
                <w:bottom w:val="none" w:sz="0" w:space="0" w:color="auto"/>
                <w:right w:val="none" w:sz="0" w:space="0" w:color="auto"/>
              </w:divBdr>
            </w:div>
            <w:div w:id="257105565">
              <w:marLeft w:val="0"/>
              <w:marRight w:val="0"/>
              <w:marTop w:val="0"/>
              <w:marBottom w:val="0"/>
              <w:divBdr>
                <w:top w:val="none" w:sz="0" w:space="0" w:color="auto"/>
                <w:left w:val="none" w:sz="0" w:space="0" w:color="auto"/>
                <w:bottom w:val="none" w:sz="0" w:space="0" w:color="auto"/>
                <w:right w:val="none" w:sz="0" w:space="0" w:color="auto"/>
              </w:divBdr>
            </w:div>
            <w:div w:id="281765294">
              <w:marLeft w:val="0"/>
              <w:marRight w:val="0"/>
              <w:marTop w:val="0"/>
              <w:marBottom w:val="0"/>
              <w:divBdr>
                <w:top w:val="none" w:sz="0" w:space="0" w:color="auto"/>
                <w:left w:val="none" w:sz="0" w:space="0" w:color="auto"/>
                <w:bottom w:val="none" w:sz="0" w:space="0" w:color="auto"/>
                <w:right w:val="none" w:sz="0" w:space="0" w:color="auto"/>
              </w:divBdr>
            </w:div>
            <w:div w:id="1646273742">
              <w:marLeft w:val="0"/>
              <w:marRight w:val="0"/>
              <w:marTop w:val="0"/>
              <w:marBottom w:val="0"/>
              <w:divBdr>
                <w:top w:val="none" w:sz="0" w:space="0" w:color="auto"/>
                <w:left w:val="none" w:sz="0" w:space="0" w:color="auto"/>
                <w:bottom w:val="none" w:sz="0" w:space="0" w:color="auto"/>
                <w:right w:val="none" w:sz="0" w:space="0" w:color="auto"/>
              </w:divBdr>
            </w:div>
            <w:div w:id="205870587">
              <w:marLeft w:val="0"/>
              <w:marRight w:val="0"/>
              <w:marTop w:val="0"/>
              <w:marBottom w:val="0"/>
              <w:divBdr>
                <w:top w:val="none" w:sz="0" w:space="0" w:color="auto"/>
                <w:left w:val="none" w:sz="0" w:space="0" w:color="auto"/>
                <w:bottom w:val="none" w:sz="0" w:space="0" w:color="auto"/>
                <w:right w:val="none" w:sz="0" w:space="0" w:color="auto"/>
              </w:divBdr>
            </w:div>
            <w:div w:id="227810561">
              <w:marLeft w:val="0"/>
              <w:marRight w:val="0"/>
              <w:marTop w:val="0"/>
              <w:marBottom w:val="0"/>
              <w:divBdr>
                <w:top w:val="none" w:sz="0" w:space="0" w:color="auto"/>
                <w:left w:val="none" w:sz="0" w:space="0" w:color="auto"/>
                <w:bottom w:val="none" w:sz="0" w:space="0" w:color="auto"/>
                <w:right w:val="none" w:sz="0" w:space="0" w:color="auto"/>
              </w:divBdr>
            </w:div>
            <w:div w:id="852493233">
              <w:marLeft w:val="0"/>
              <w:marRight w:val="0"/>
              <w:marTop w:val="0"/>
              <w:marBottom w:val="0"/>
              <w:divBdr>
                <w:top w:val="none" w:sz="0" w:space="0" w:color="auto"/>
                <w:left w:val="none" w:sz="0" w:space="0" w:color="auto"/>
                <w:bottom w:val="none" w:sz="0" w:space="0" w:color="auto"/>
                <w:right w:val="none" w:sz="0" w:space="0" w:color="auto"/>
              </w:divBdr>
            </w:div>
            <w:div w:id="683633372">
              <w:marLeft w:val="0"/>
              <w:marRight w:val="0"/>
              <w:marTop w:val="0"/>
              <w:marBottom w:val="0"/>
              <w:divBdr>
                <w:top w:val="none" w:sz="0" w:space="0" w:color="auto"/>
                <w:left w:val="none" w:sz="0" w:space="0" w:color="auto"/>
                <w:bottom w:val="none" w:sz="0" w:space="0" w:color="auto"/>
                <w:right w:val="none" w:sz="0" w:space="0" w:color="auto"/>
              </w:divBdr>
            </w:div>
            <w:div w:id="525947632">
              <w:marLeft w:val="0"/>
              <w:marRight w:val="0"/>
              <w:marTop w:val="0"/>
              <w:marBottom w:val="0"/>
              <w:divBdr>
                <w:top w:val="none" w:sz="0" w:space="0" w:color="auto"/>
                <w:left w:val="none" w:sz="0" w:space="0" w:color="auto"/>
                <w:bottom w:val="none" w:sz="0" w:space="0" w:color="auto"/>
                <w:right w:val="none" w:sz="0" w:space="0" w:color="auto"/>
              </w:divBdr>
            </w:div>
            <w:div w:id="1463574052">
              <w:marLeft w:val="0"/>
              <w:marRight w:val="0"/>
              <w:marTop w:val="0"/>
              <w:marBottom w:val="0"/>
              <w:divBdr>
                <w:top w:val="none" w:sz="0" w:space="0" w:color="auto"/>
                <w:left w:val="none" w:sz="0" w:space="0" w:color="auto"/>
                <w:bottom w:val="none" w:sz="0" w:space="0" w:color="auto"/>
                <w:right w:val="none" w:sz="0" w:space="0" w:color="auto"/>
              </w:divBdr>
            </w:div>
            <w:div w:id="855339739">
              <w:marLeft w:val="0"/>
              <w:marRight w:val="0"/>
              <w:marTop w:val="0"/>
              <w:marBottom w:val="0"/>
              <w:divBdr>
                <w:top w:val="none" w:sz="0" w:space="0" w:color="auto"/>
                <w:left w:val="none" w:sz="0" w:space="0" w:color="auto"/>
                <w:bottom w:val="none" w:sz="0" w:space="0" w:color="auto"/>
                <w:right w:val="none" w:sz="0" w:space="0" w:color="auto"/>
              </w:divBdr>
            </w:div>
            <w:div w:id="1913394494">
              <w:marLeft w:val="0"/>
              <w:marRight w:val="0"/>
              <w:marTop w:val="0"/>
              <w:marBottom w:val="0"/>
              <w:divBdr>
                <w:top w:val="none" w:sz="0" w:space="0" w:color="auto"/>
                <w:left w:val="none" w:sz="0" w:space="0" w:color="auto"/>
                <w:bottom w:val="none" w:sz="0" w:space="0" w:color="auto"/>
                <w:right w:val="none" w:sz="0" w:space="0" w:color="auto"/>
              </w:divBdr>
            </w:div>
            <w:div w:id="1804418707">
              <w:marLeft w:val="0"/>
              <w:marRight w:val="0"/>
              <w:marTop w:val="0"/>
              <w:marBottom w:val="0"/>
              <w:divBdr>
                <w:top w:val="none" w:sz="0" w:space="0" w:color="auto"/>
                <w:left w:val="none" w:sz="0" w:space="0" w:color="auto"/>
                <w:bottom w:val="none" w:sz="0" w:space="0" w:color="auto"/>
                <w:right w:val="none" w:sz="0" w:space="0" w:color="auto"/>
              </w:divBdr>
            </w:div>
            <w:div w:id="653071111">
              <w:marLeft w:val="0"/>
              <w:marRight w:val="0"/>
              <w:marTop w:val="0"/>
              <w:marBottom w:val="0"/>
              <w:divBdr>
                <w:top w:val="none" w:sz="0" w:space="0" w:color="auto"/>
                <w:left w:val="none" w:sz="0" w:space="0" w:color="auto"/>
                <w:bottom w:val="none" w:sz="0" w:space="0" w:color="auto"/>
                <w:right w:val="none" w:sz="0" w:space="0" w:color="auto"/>
              </w:divBdr>
            </w:div>
            <w:div w:id="98647258">
              <w:marLeft w:val="0"/>
              <w:marRight w:val="0"/>
              <w:marTop w:val="0"/>
              <w:marBottom w:val="0"/>
              <w:divBdr>
                <w:top w:val="none" w:sz="0" w:space="0" w:color="auto"/>
                <w:left w:val="none" w:sz="0" w:space="0" w:color="auto"/>
                <w:bottom w:val="none" w:sz="0" w:space="0" w:color="auto"/>
                <w:right w:val="none" w:sz="0" w:space="0" w:color="auto"/>
              </w:divBdr>
            </w:div>
            <w:div w:id="261577196">
              <w:marLeft w:val="0"/>
              <w:marRight w:val="0"/>
              <w:marTop w:val="0"/>
              <w:marBottom w:val="0"/>
              <w:divBdr>
                <w:top w:val="none" w:sz="0" w:space="0" w:color="auto"/>
                <w:left w:val="none" w:sz="0" w:space="0" w:color="auto"/>
                <w:bottom w:val="none" w:sz="0" w:space="0" w:color="auto"/>
                <w:right w:val="none" w:sz="0" w:space="0" w:color="auto"/>
              </w:divBdr>
            </w:div>
            <w:div w:id="1211266096">
              <w:marLeft w:val="0"/>
              <w:marRight w:val="0"/>
              <w:marTop w:val="0"/>
              <w:marBottom w:val="0"/>
              <w:divBdr>
                <w:top w:val="none" w:sz="0" w:space="0" w:color="auto"/>
                <w:left w:val="none" w:sz="0" w:space="0" w:color="auto"/>
                <w:bottom w:val="none" w:sz="0" w:space="0" w:color="auto"/>
                <w:right w:val="none" w:sz="0" w:space="0" w:color="auto"/>
              </w:divBdr>
            </w:div>
            <w:div w:id="415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5601">
      <w:bodyDiv w:val="1"/>
      <w:marLeft w:val="0"/>
      <w:marRight w:val="0"/>
      <w:marTop w:val="0"/>
      <w:marBottom w:val="0"/>
      <w:divBdr>
        <w:top w:val="none" w:sz="0" w:space="0" w:color="auto"/>
        <w:left w:val="none" w:sz="0" w:space="0" w:color="auto"/>
        <w:bottom w:val="none" w:sz="0" w:space="0" w:color="auto"/>
        <w:right w:val="none" w:sz="0" w:space="0" w:color="auto"/>
      </w:divBdr>
      <w:divsChild>
        <w:div w:id="90275806">
          <w:marLeft w:val="0"/>
          <w:marRight w:val="0"/>
          <w:marTop w:val="0"/>
          <w:marBottom w:val="0"/>
          <w:divBdr>
            <w:top w:val="none" w:sz="0" w:space="0" w:color="auto"/>
            <w:left w:val="none" w:sz="0" w:space="0" w:color="auto"/>
            <w:bottom w:val="none" w:sz="0" w:space="0" w:color="auto"/>
            <w:right w:val="none" w:sz="0" w:space="0" w:color="auto"/>
          </w:divBdr>
        </w:div>
        <w:div w:id="639769158">
          <w:marLeft w:val="0"/>
          <w:marRight w:val="0"/>
          <w:marTop w:val="0"/>
          <w:marBottom w:val="0"/>
          <w:divBdr>
            <w:top w:val="none" w:sz="0" w:space="0" w:color="auto"/>
            <w:left w:val="none" w:sz="0" w:space="0" w:color="auto"/>
            <w:bottom w:val="none" w:sz="0" w:space="0" w:color="auto"/>
            <w:right w:val="none" w:sz="0" w:space="0" w:color="auto"/>
          </w:divBdr>
        </w:div>
        <w:div w:id="8920810">
          <w:marLeft w:val="0"/>
          <w:marRight w:val="0"/>
          <w:marTop w:val="0"/>
          <w:marBottom w:val="0"/>
          <w:divBdr>
            <w:top w:val="none" w:sz="0" w:space="0" w:color="auto"/>
            <w:left w:val="none" w:sz="0" w:space="0" w:color="auto"/>
            <w:bottom w:val="none" w:sz="0" w:space="0" w:color="auto"/>
            <w:right w:val="none" w:sz="0" w:space="0" w:color="auto"/>
          </w:divBdr>
        </w:div>
        <w:div w:id="333650609">
          <w:marLeft w:val="0"/>
          <w:marRight w:val="0"/>
          <w:marTop w:val="0"/>
          <w:marBottom w:val="0"/>
          <w:divBdr>
            <w:top w:val="none" w:sz="0" w:space="0" w:color="auto"/>
            <w:left w:val="none" w:sz="0" w:space="0" w:color="auto"/>
            <w:bottom w:val="none" w:sz="0" w:space="0" w:color="auto"/>
            <w:right w:val="none" w:sz="0" w:space="0" w:color="auto"/>
          </w:divBdr>
        </w:div>
        <w:div w:id="73209148">
          <w:marLeft w:val="0"/>
          <w:marRight w:val="0"/>
          <w:marTop w:val="0"/>
          <w:marBottom w:val="0"/>
          <w:divBdr>
            <w:top w:val="none" w:sz="0" w:space="0" w:color="auto"/>
            <w:left w:val="none" w:sz="0" w:space="0" w:color="auto"/>
            <w:bottom w:val="none" w:sz="0" w:space="0" w:color="auto"/>
            <w:right w:val="none" w:sz="0" w:space="0" w:color="auto"/>
          </w:divBdr>
        </w:div>
        <w:div w:id="768888941">
          <w:marLeft w:val="0"/>
          <w:marRight w:val="0"/>
          <w:marTop w:val="0"/>
          <w:marBottom w:val="0"/>
          <w:divBdr>
            <w:top w:val="none" w:sz="0" w:space="0" w:color="auto"/>
            <w:left w:val="none" w:sz="0" w:space="0" w:color="auto"/>
            <w:bottom w:val="none" w:sz="0" w:space="0" w:color="auto"/>
            <w:right w:val="none" w:sz="0" w:space="0" w:color="auto"/>
          </w:divBdr>
        </w:div>
        <w:div w:id="99032231">
          <w:marLeft w:val="0"/>
          <w:marRight w:val="0"/>
          <w:marTop w:val="0"/>
          <w:marBottom w:val="0"/>
          <w:divBdr>
            <w:top w:val="none" w:sz="0" w:space="0" w:color="auto"/>
            <w:left w:val="none" w:sz="0" w:space="0" w:color="auto"/>
            <w:bottom w:val="none" w:sz="0" w:space="0" w:color="auto"/>
            <w:right w:val="none" w:sz="0" w:space="0" w:color="auto"/>
          </w:divBdr>
        </w:div>
        <w:div w:id="818616203">
          <w:marLeft w:val="0"/>
          <w:marRight w:val="0"/>
          <w:marTop w:val="0"/>
          <w:marBottom w:val="0"/>
          <w:divBdr>
            <w:top w:val="none" w:sz="0" w:space="0" w:color="auto"/>
            <w:left w:val="none" w:sz="0" w:space="0" w:color="auto"/>
            <w:bottom w:val="none" w:sz="0" w:space="0" w:color="auto"/>
            <w:right w:val="none" w:sz="0" w:space="0" w:color="auto"/>
          </w:divBdr>
        </w:div>
      </w:divsChild>
    </w:div>
    <w:div w:id="1230461849">
      <w:bodyDiv w:val="1"/>
      <w:marLeft w:val="0"/>
      <w:marRight w:val="0"/>
      <w:marTop w:val="0"/>
      <w:marBottom w:val="0"/>
      <w:divBdr>
        <w:top w:val="none" w:sz="0" w:space="0" w:color="auto"/>
        <w:left w:val="none" w:sz="0" w:space="0" w:color="auto"/>
        <w:bottom w:val="none" w:sz="0" w:space="0" w:color="auto"/>
        <w:right w:val="none" w:sz="0" w:space="0" w:color="auto"/>
      </w:divBdr>
      <w:divsChild>
        <w:div w:id="730035548">
          <w:marLeft w:val="0"/>
          <w:marRight w:val="0"/>
          <w:marTop w:val="0"/>
          <w:marBottom w:val="0"/>
          <w:divBdr>
            <w:top w:val="none" w:sz="0" w:space="0" w:color="auto"/>
            <w:left w:val="none" w:sz="0" w:space="0" w:color="auto"/>
            <w:bottom w:val="none" w:sz="0" w:space="0" w:color="auto"/>
            <w:right w:val="none" w:sz="0" w:space="0" w:color="auto"/>
          </w:divBdr>
        </w:div>
        <w:div w:id="1886021817">
          <w:marLeft w:val="0"/>
          <w:marRight w:val="0"/>
          <w:marTop w:val="0"/>
          <w:marBottom w:val="0"/>
          <w:divBdr>
            <w:top w:val="none" w:sz="0" w:space="0" w:color="auto"/>
            <w:left w:val="none" w:sz="0" w:space="0" w:color="auto"/>
            <w:bottom w:val="none" w:sz="0" w:space="0" w:color="auto"/>
            <w:right w:val="none" w:sz="0" w:space="0" w:color="auto"/>
          </w:divBdr>
        </w:div>
        <w:div w:id="434446263">
          <w:marLeft w:val="0"/>
          <w:marRight w:val="0"/>
          <w:marTop w:val="0"/>
          <w:marBottom w:val="0"/>
          <w:divBdr>
            <w:top w:val="none" w:sz="0" w:space="0" w:color="auto"/>
            <w:left w:val="none" w:sz="0" w:space="0" w:color="auto"/>
            <w:bottom w:val="none" w:sz="0" w:space="0" w:color="auto"/>
            <w:right w:val="none" w:sz="0" w:space="0" w:color="auto"/>
          </w:divBdr>
        </w:div>
      </w:divsChild>
    </w:div>
    <w:div w:id="1685284470">
      <w:bodyDiv w:val="1"/>
      <w:marLeft w:val="0"/>
      <w:marRight w:val="0"/>
      <w:marTop w:val="0"/>
      <w:marBottom w:val="0"/>
      <w:divBdr>
        <w:top w:val="none" w:sz="0" w:space="0" w:color="auto"/>
        <w:left w:val="none" w:sz="0" w:space="0" w:color="auto"/>
        <w:bottom w:val="none" w:sz="0" w:space="0" w:color="auto"/>
        <w:right w:val="none" w:sz="0" w:space="0" w:color="auto"/>
      </w:divBdr>
      <w:divsChild>
        <w:div w:id="108594692">
          <w:marLeft w:val="-108"/>
          <w:marRight w:val="0"/>
          <w:marTop w:val="0"/>
          <w:marBottom w:val="0"/>
          <w:divBdr>
            <w:top w:val="none" w:sz="0" w:space="0" w:color="auto"/>
            <w:left w:val="none" w:sz="0" w:space="0" w:color="auto"/>
            <w:bottom w:val="none" w:sz="0" w:space="0" w:color="auto"/>
            <w:right w:val="none" w:sz="0" w:space="0" w:color="auto"/>
          </w:divBdr>
        </w:div>
        <w:div w:id="1967003675">
          <w:marLeft w:val="-115"/>
          <w:marRight w:val="0"/>
          <w:marTop w:val="0"/>
          <w:marBottom w:val="0"/>
          <w:divBdr>
            <w:top w:val="none" w:sz="0" w:space="0" w:color="auto"/>
            <w:left w:val="none" w:sz="0" w:space="0" w:color="auto"/>
            <w:bottom w:val="none" w:sz="0" w:space="0" w:color="auto"/>
            <w:right w:val="none" w:sz="0" w:space="0" w:color="auto"/>
          </w:divBdr>
        </w:div>
        <w:div w:id="1570188388">
          <w:marLeft w:val="-108"/>
          <w:marRight w:val="0"/>
          <w:marTop w:val="0"/>
          <w:marBottom w:val="0"/>
          <w:divBdr>
            <w:top w:val="none" w:sz="0" w:space="0" w:color="auto"/>
            <w:left w:val="none" w:sz="0" w:space="0" w:color="auto"/>
            <w:bottom w:val="none" w:sz="0" w:space="0" w:color="auto"/>
            <w:right w:val="none" w:sz="0" w:space="0" w:color="auto"/>
          </w:divBdr>
        </w:div>
        <w:div w:id="2059356394">
          <w:marLeft w:val="38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9BE9E-E95E-4936-B8FE-E85A3959A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10804</Words>
  <Characters>61583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 Reddy</dc:creator>
  <cp:lastModifiedBy>YV Reddy</cp:lastModifiedBy>
  <cp:revision>9</cp:revision>
  <cp:lastPrinted>2019-03-23T06:15:00Z</cp:lastPrinted>
  <dcterms:created xsi:type="dcterms:W3CDTF">2019-04-19T09:26:00Z</dcterms:created>
  <dcterms:modified xsi:type="dcterms:W3CDTF">2019-04-19T09:34:00Z</dcterms:modified>
</cp:coreProperties>
</file>